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B2" w:rsidRPr="007F5DFB" w:rsidRDefault="00765CB2" w:rsidP="00765CB2">
      <w:pPr>
        <w:pStyle w:val="Default"/>
        <w:jc w:val="center"/>
        <w:rPr>
          <w:b/>
          <w:color w:val="auto"/>
        </w:rPr>
      </w:pPr>
      <w:r>
        <w:rPr>
          <w:b/>
          <w:noProof/>
          <w:color w:val="auto"/>
        </w:rPr>
        <w:drawing>
          <wp:anchor distT="0" distB="0" distL="114300" distR="114300" simplePos="0" relativeHeight="251660288" behindDoc="1" locked="0" layoutInCell="1" allowOverlap="1">
            <wp:simplePos x="0" y="0"/>
            <wp:positionH relativeFrom="column">
              <wp:posOffset>2511425</wp:posOffset>
            </wp:positionH>
            <wp:positionV relativeFrom="paragraph">
              <wp:posOffset>67945</wp:posOffset>
            </wp:positionV>
            <wp:extent cx="410845" cy="598805"/>
            <wp:effectExtent l="19050" t="0" r="8255" b="0"/>
            <wp:wrapTight wrapText="bothSides">
              <wp:wrapPolygon edited="0">
                <wp:start x="-1002" y="0"/>
                <wp:lineTo x="-1002" y="20615"/>
                <wp:lineTo x="22034" y="20615"/>
                <wp:lineTo x="22034" y="0"/>
                <wp:lineTo x="-1002"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10845" cy="598805"/>
                    </a:xfrm>
                    <a:prstGeom prst="rect">
                      <a:avLst/>
                    </a:prstGeom>
                    <a:noFill/>
                    <a:ln w="9525">
                      <a:noFill/>
                      <a:miter lim="800000"/>
                      <a:headEnd/>
                      <a:tailEnd/>
                    </a:ln>
                  </pic:spPr>
                </pic:pic>
              </a:graphicData>
            </a:graphic>
          </wp:anchor>
        </w:drawing>
      </w:r>
    </w:p>
    <w:p w:rsidR="00765CB2" w:rsidRPr="007F5DFB" w:rsidRDefault="00765CB2" w:rsidP="00765CB2">
      <w:pPr>
        <w:pStyle w:val="Default"/>
        <w:jc w:val="center"/>
        <w:rPr>
          <w:b/>
          <w:color w:val="auto"/>
        </w:rPr>
      </w:pPr>
    </w:p>
    <w:p w:rsidR="00765CB2" w:rsidRPr="007F5DFB" w:rsidRDefault="00765CB2" w:rsidP="00765CB2">
      <w:pPr>
        <w:pStyle w:val="Default"/>
        <w:jc w:val="center"/>
        <w:rPr>
          <w:b/>
          <w:color w:val="auto"/>
        </w:rPr>
      </w:pPr>
    </w:p>
    <w:p w:rsidR="00765CB2" w:rsidRPr="007F5DFB" w:rsidRDefault="00765CB2" w:rsidP="00765CB2">
      <w:pPr>
        <w:pStyle w:val="Default"/>
        <w:jc w:val="center"/>
        <w:rPr>
          <w:b/>
          <w:color w:val="auto"/>
        </w:rPr>
      </w:pPr>
    </w:p>
    <w:p w:rsidR="00765CB2" w:rsidRPr="00A266E4" w:rsidRDefault="00765CB2" w:rsidP="00765CB2">
      <w:pPr>
        <w:pStyle w:val="Default"/>
        <w:jc w:val="center"/>
        <w:rPr>
          <w:color w:val="auto"/>
          <w:sz w:val="20"/>
          <w:szCs w:val="20"/>
        </w:rPr>
      </w:pPr>
      <w:r w:rsidRPr="00A266E4">
        <w:rPr>
          <w:color w:val="auto"/>
          <w:sz w:val="20"/>
          <w:szCs w:val="20"/>
        </w:rPr>
        <w:t>GOVERNO DO ESTADO DA BAHIA</w:t>
      </w:r>
    </w:p>
    <w:p w:rsidR="00765CB2" w:rsidRPr="00A266E4" w:rsidRDefault="00765CB2" w:rsidP="00765CB2">
      <w:pPr>
        <w:pStyle w:val="Default"/>
        <w:jc w:val="center"/>
        <w:rPr>
          <w:color w:val="auto"/>
          <w:sz w:val="20"/>
          <w:szCs w:val="20"/>
        </w:rPr>
      </w:pPr>
      <w:r w:rsidRPr="00A266E4">
        <w:rPr>
          <w:color w:val="auto"/>
          <w:sz w:val="20"/>
          <w:szCs w:val="20"/>
        </w:rPr>
        <w:t xml:space="preserve">SECRETARIA DE CULTURA </w:t>
      </w:r>
    </w:p>
    <w:p w:rsidR="00765CB2" w:rsidRPr="007F5DFB" w:rsidRDefault="00765CB2" w:rsidP="00765CB2">
      <w:pPr>
        <w:pStyle w:val="Default"/>
        <w:jc w:val="center"/>
        <w:rPr>
          <w:color w:val="auto"/>
        </w:rPr>
      </w:pPr>
    </w:p>
    <w:p w:rsidR="00765CB2" w:rsidRPr="00A266E4" w:rsidRDefault="00765CB2" w:rsidP="00765CB2">
      <w:pPr>
        <w:pStyle w:val="Default"/>
        <w:jc w:val="center"/>
        <w:rPr>
          <w:b/>
          <w:bCs/>
          <w:color w:val="auto"/>
          <w:sz w:val="22"/>
          <w:szCs w:val="22"/>
        </w:rPr>
      </w:pPr>
      <w:r w:rsidRPr="009351C7">
        <w:rPr>
          <w:b/>
          <w:bCs/>
          <w:color w:val="auto"/>
          <w:sz w:val="22"/>
          <w:szCs w:val="22"/>
        </w:rPr>
        <w:t>PORTARIA Nº</w:t>
      </w:r>
      <w:r>
        <w:rPr>
          <w:b/>
          <w:bCs/>
          <w:color w:val="auto"/>
          <w:sz w:val="22"/>
          <w:szCs w:val="22"/>
        </w:rPr>
        <w:t xml:space="preserve"> </w:t>
      </w:r>
      <w:r w:rsidR="00ED15B0">
        <w:rPr>
          <w:b/>
          <w:bCs/>
          <w:color w:val="auto"/>
          <w:sz w:val="22"/>
          <w:szCs w:val="22"/>
        </w:rPr>
        <w:t xml:space="preserve">072, </w:t>
      </w:r>
      <w:r>
        <w:rPr>
          <w:b/>
          <w:bCs/>
          <w:color w:val="auto"/>
          <w:sz w:val="22"/>
          <w:szCs w:val="22"/>
        </w:rPr>
        <w:t>de 18 de maio de</w:t>
      </w:r>
      <w:r w:rsidRPr="009351C7">
        <w:rPr>
          <w:b/>
          <w:bCs/>
          <w:color w:val="auto"/>
          <w:sz w:val="22"/>
          <w:szCs w:val="22"/>
        </w:rPr>
        <w:t xml:space="preserve"> 201</w:t>
      </w:r>
      <w:r>
        <w:rPr>
          <w:b/>
          <w:bCs/>
          <w:color w:val="auto"/>
          <w:sz w:val="22"/>
          <w:szCs w:val="22"/>
        </w:rPr>
        <w:t>6</w:t>
      </w:r>
    </w:p>
    <w:p w:rsidR="00765CB2" w:rsidRPr="009351C7" w:rsidRDefault="00765CB2" w:rsidP="00765CB2">
      <w:pPr>
        <w:pStyle w:val="Default"/>
        <w:jc w:val="center"/>
        <w:rPr>
          <w:color w:val="auto"/>
          <w:sz w:val="22"/>
          <w:szCs w:val="22"/>
        </w:rPr>
      </w:pPr>
    </w:p>
    <w:p w:rsidR="00765CB2" w:rsidRPr="009351C7" w:rsidRDefault="00765CB2" w:rsidP="00765CB2">
      <w:pPr>
        <w:jc w:val="both"/>
        <w:rPr>
          <w:sz w:val="22"/>
          <w:szCs w:val="22"/>
        </w:rPr>
      </w:pPr>
      <w:r w:rsidRPr="009351C7">
        <w:rPr>
          <w:b/>
          <w:sz w:val="22"/>
          <w:szCs w:val="22"/>
        </w:rPr>
        <w:t>O SECRETÁRIO DE CULTURA DO ESTADO DA BAHIA</w:t>
      </w:r>
      <w:r w:rsidRPr="009351C7">
        <w:rPr>
          <w:sz w:val="22"/>
          <w:szCs w:val="22"/>
        </w:rPr>
        <w:t>, no uso de suas atribuições, co</w:t>
      </w:r>
      <w:r>
        <w:rPr>
          <w:sz w:val="22"/>
          <w:szCs w:val="22"/>
        </w:rPr>
        <w:t>m base na Lei Estadual nº 9.433/</w:t>
      </w:r>
      <w:r w:rsidRPr="009351C7">
        <w:rPr>
          <w:sz w:val="22"/>
          <w:szCs w:val="22"/>
        </w:rPr>
        <w:t>2005</w:t>
      </w:r>
      <w:r w:rsidRPr="009351C7">
        <w:rPr>
          <w:rStyle w:val="Refdenotaderodap"/>
          <w:sz w:val="22"/>
          <w:szCs w:val="22"/>
        </w:rPr>
        <w:footnoteReference w:id="2"/>
      </w:r>
      <w:r w:rsidRPr="009351C7">
        <w:rPr>
          <w:sz w:val="22"/>
          <w:szCs w:val="22"/>
        </w:rPr>
        <w:t xml:space="preserve"> e tendo em vista as Leis nº 9.431</w:t>
      </w:r>
      <w:r>
        <w:rPr>
          <w:sz w:val="22"/>
          <w:szCs w:val="22"/>
        </w:rPr>
        <w:t>/</w:t>
      </w:r>
      <w:r w:rsidRPr="009351C7">
        <w:rPr>
          <w:sz w:val="22"/>
          <w:szCs w:val="22"/>
        </w:rPr>
        <w:t>2005</w:t>
      </w:r>
      <w:r w:rsidRPr="009351C7">
        <w:rPr>
          <w:rStyle w:val="Refdenotaderodap"/>
          <w:sz w:val="22"/>
          <w:szCs w:val="22"/>
        </w:rPr>
        <w:footnoteReference w:id="3"/>
      </w:r>
      <w:r>
        <w:rPr>
          <w:sz w:val="22"/>
          <w:szCs w:val="22"/>
        </w:rPr>
        <w:t>, nº 7.015/</w:t>
      </w:r>
      <w:r w:rsidRPr="009351C7">
        <w:rPr>
          <w:sz w:val="22"/>
          <w:szCs w:val="22"/>
        </w:rPr>
        <w:t>1996</w:t>
      </w:r>
      <w:r w:rsidRPr="009351C7">
        <w:rPr>
          <w:rStyle w:val="Refdenotaderodap"/>
          <w:sz w:val="22"/>
          <w:szCs w:val="22"/>
        </w:rPr>
        <w:footnoteReference w:id="4"/>
      </w:r>
      <w:r>
        <w:rPr>
          <w:sz w:val="22"/>
          <w:szCs w:val="22"/>
        </w:rPr>
        <w:t>, nº 9.846/</w:t>
      </w:r>
      <w:r w:rsidRPr="009351C7">
        <w:rPr>
          <w:sz w:val="22"/>
          <w:szCs w:val="22"/>
        </w:rPr>
        <w:t>2005</w:t>
      </w:r>
      <w:r w:rsidRPr="009351C7">
        <w:rPr>
          <w:rStyle w:val="Refdenotaderodap"/>
          <w:sz w:val="22"/>
          <w:szCs w:val="22"/>
        </w:rPr>
        <w:footnoteReference w:id="5"/>
      </w:r>
      <w:r w:rsidRPr="009351C7">
        <w:rPr>
          <w:sz w:val="22"/>
          <w:szCs w:val="22"/>
        </w:rPr>
        <w:t>, os Decretos Estaduais nº 14.845, de 28 de novembro de 2013</w:t>
      </w:r>
      <w:r w:rsidRPr="009351C7">
        <w:rPr>
          <w:rStyle w:val="Refdenotaderodap"/>
          <w:sz w:val="22"/>
          <w:szCs w:val="22"/>
        </w:rPr>
        <w:footnoteReference w:id="6"/>
      </w:r>
      <w:r w:rsidRPr="009351C7">
        <w:rPr>
          <w:sz w:val="22"/>
          <w:szCs w:val="22"/>
        </w:rPr>
        <w:t xml:space="preserve"> e nº </w:t>
      </w:r>
      <w:r w:rsidRPr="009351C7">
        <w:rPr>
          <w:bCs/>
          <w:sz w:val="22"/>
          <w:szCs w:val="22"/>
        </w:rPr>
        <w:t>12.901, de 13 de maio de 2011</w:t>
      </w:r>
      <w:r w:rsidRPr="009351C7">
        <w:rPr>
          <w:rStyle w:val="Refdenotaderodap"/>
          <w:bCs/>
          <w:sz w:val="22"/>
          <w:szCs w:val="22"/>
        </w:rPr>
        <w:footnoteReference w:id="7"/>
      </w:r>
      <w:r w:rsidRPr="009351C7">
        <w:rPr>
          <w:bCs/>
          <w:sz w:val="22"/>
          <w:szCs w:val="22"/>
        </w:rPr>
        <w:t xml:space="preserve">, </w:t>
      </w:r>
      <w:r>
        <w:rPr>
          <w:sz w:val="22"/>
          <w:szCs w:val="22"/>
        </w:rPr>
        <w:t>com as alterações feitas pelo D</w:t>
      </w:r>
      <w:r w:rsidRPr="009351C7">
        <w:rPr>
          <w:sz w:val="22"/>
          <w:szCs w:val="22"/>
        </w:rPr>
        <w:t xml:space="preserve">ecreto nº 13.948, de </w:t>
      </w:r>
      <w:r>
        <w:rPr>
          <w:sz w:val="22"/>
          <w:szCs w:val="22"/>
        </w:rPr>
        <w:t>23 de abril de 2012 e pelo D</w:t>
      </w:r>
      <w:r w:rsidRPr="009351C7">
        <w:rPr>
          <w:sz w:val="22"/>
          <w:szCs w:val="22"/>
        </w:rPr>
        <w:t>ecreto 14.444, de 25 de abril de 2013,</w:t>
      </w:r>
    </w:p>
    <w:p w:rsidR="00765CB2" w:rsidRDefault="00765CB2" w:rsidP="00765CB2">
      <w:pPr>
        <w:pStyle w:val="Default"/>
        <w:jc w:val="center"/>
        <w:rPr>
          <w:b/>
          <w:color w:val="auto"/>
          <w:sz w:val="22"/>
          <w:szCs w:val="22"/>
        </w:rPr>
      </w:pPr>
      <w:r w:rsidRPr="009351C7">
        <w:rPr>
          <w:b/>
          <w:color w:val="auto"/>
          <w:sz w:val="22"/>
          <w:szCs w:val="22"/>
        </w:rPr>
        <w:t>RESOLVE</w:t>
      </w:r>
    </w:p>
    <w:p w:rsidR="00765CB2" w:rsidRPr="009351C7" w:rsidRDefault="00765CB2" w:rsidP="00765CB2">
      <w:pPr>
        <w:pStyle w:val="Default"/>
        <w:jc w:val="center"/>
        <w:rPr>
          <w:b/>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1º</w:t>
      </w:r>
      <w:r w:rsidRPr="009351C7">
        <w:rPr>
          <w:color w:val="auto"/>
          <w:sz w:val="22"/>
          <w:szCs w:val="22"/>
        </w:rPr>
        <w:t xml:space="preserve"> - Fica instituído o credenciamento para prestação de serviços de consultoria e capacitação em elaboração, análise, gerenciamento de projetos e prestação de contas de apoios financeiros, tendo como objetivo assegurar qualidade, agilidade e eficiência à avaliação e ao controle de propostas culturais submetidas e aprovadas para incentivo através dos mecanismos de fomento operados pela Secretaria de Cultura.</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Parágrafo único.</w:t>
      </w:r>
      <w:r w:rsidRPr="009351C7">
        <w:rPr>
          <w:color w:val="auto"/>
          <w:sz w:val="22"/>
          <w:szCs w:val="22"/>
        </w:rPr>
        <w:t xml:space="preserve"> Incluem-se como mecanismos de fomento operados pela Secretaria de Cultura programas e projetos de outras instituições, de outras esferas de Governo ou de outros Poderes de Estado que estejam sob sua responsabilidade e que tenham como objetivo apoiar ações culturais desenvolvidas por pessoas físicas e jurídicas.</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2º</w:t>
      </w:r>
      <w:r w:rsidRPr="009351C7">
        <w:rPr>
          <w:color w:val="auto"/>
          <w:sz w:val="22"/>
          <w:szCs w:val="22"/>
        </w:rPr>
        <w:t xml:space="preserve"> - Para fins desta Portaria considera-se:</w:t>
      </w:r>
    </w:p>
    <w:p w:rsidR="00765CB2" w:rsidRPr="009351C7" w:rsidRDefault="00765CB2" w:rsidP="00765CB2">
      <w:pPr>
        <w:pStyle w:val="Default"/>
        <w:jc w:val="both"/>
        <w:rPr>
          <w:color w:val="auto"/>
          <w:sz w:val="22"/>
          <w:szCs w:val="22"/>
        </w:rPr>
      </w:pPr>
    </w:p>
    <w:p w:rsidR="00765CB2" w:rsidRPr="009351C7" w:rsidRDefault="00765CB2" w:rsidP="00765CB2">
      <w:pPr>
        <w:pStyle w:val="Default"/>
        <w:numPr>
          <w:ilvl w:val="0"/>
          <w:numId w:val="2"/>
        </w:numPr>
        <w:jc w:val="both"/>
        <w:rPr>
          <w:color w:val="auto"/>
          <w:sz w:val="22"/>
          <w:szCs w:val="22"/>
        </w:rPr>
      </w:pPr>
      <w:r w:rsidRPr="009351C7">
        <w:rPr>
          <w:color w:val="auto"/>
          <w:sz w:val="22"/>
          <w:szCs w:val="22"/>
        </w:rPr>
        <w:t>Credenciamento: Caso de inexigibilidade de licitação, caracterizada por inviabilidade de competição, quando, em razão da natureza do serviço a ser prestado e da impossibilidade prática de se estabelecer o confronto entre os interessados, no mesmo nível de igualdade, proporcionando à Administração um melhor atendimento, mediante a contratação do maior número possível de prestadores de serviço.</w:t>
      </w:r>
    </w:p>
    <w:p w:rsidR="00765CB2" w:rsidRPr="009351C7" w:rsidRDefault="00765CB2" w:rsidP="00765CB2">
      <w:pPr>
        <w:pStyle w:val="Default"/>
        <w:numPr>
          <w:ilvl w:val="0"/>
          <w:numId w:val="2"/>
        </w:numPr>
        <w:jc w:val="both"/>
        <w:rPr>
          <w:color w:val="auto"/>
          <w:sz w:val="22"/>
          <w:szCs w:val="22"/>
        </w:rPr>
      </w:pPr>
      <w:r w:rsidRPr="009351C7">
        <w:rPr>
          <w:color w:val="auto"/>
          <w:sz w:val="22"/>
          <w:szCs w:val="22"/>
        </w:rPr>
        <w:t>Consultor: Profissional apto a elaborar, orientar, gerenciar e avaliar projetos, bem como elaborar e analisar prestações de contas de propostas culturais apoiadas.</w:t>
      </w:r>
    </w:p>
    <w:p w:rsidR="00765CB2" w:rsidRPr="009351C7" w:rsidRDefault="00765CB2" w:rsidP="00765CB2">
      <w:pPr>
        <w:pStyle w:val="Default"/>
        <w:numPr>
          <w:ilvl w:val="0"/>
          <w:numId w:val="2"/>
        </w:numPr>
        <w:jc w:val="both"/>
        <w:rPr>
          <w:color w:val="auto"/>
          <w:sz w:val="22"/>
          <w:szCs w:val="22"/>
        </w:rPr>
      </w:pPr>
      <w:r w:rsidRPr="009351C7">
        <w:rPr>
          <w:color w:val="auto"/>
          <w:sz w:val="22"/>
          <w:szCs w:val="22"/>
        </w:rPr>
        <w:t>Instrutor: profissional apto a mediar os processos de ensino / aprendizagem em elaboração, análise, gerenciamento de projetos e prestação de contas de propostas culturais apoiadas.</w:t>
      </w:r>
    </w:p>
    <w:p w:rsidR="00765CB2" w:rsidRPr="009351C7" w:rsidRDefault="00765CB2" w:rsidP="00765CB2">
      <w:pPr>
        <w:pStyle w:val="Default"/>
        <w:numPr>
          <w:ilvl w:val="0"/>
          <w:numId w:val="2"/>
        </w:numPr>
        <w:jc w:val="both"/>
        <w:rPr>
          <w:color w:val="auto"/>
          <w:sz w:val="22"/>
          <w:szCs w:val="22"/>
        </w:rPr>
      </w:pPr>
      <w:r w:rsidRPr="009351C7">
        <w:rPr>
          <w:color w:val="auto"/>
          <w:sz w:val="22"/>
          <w:szCs w:val="22"/>
        </w:rPr>
        <w:t>Palestrante: Profissional convocado para ministrar palestras em seminários, simpósio, congressos e outros eventos promovidos pela Secretaria de Cultura, com a carga horária de até 04 horas.</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3º</w:t>
      </w:r>
      <w:r w:rsidRPr="009351C7">
        <w:rPr>
          <w:color w:val="auto"/>
          <w:sz w:val="22"/>
          <w:szCs w:val="22"/>
        </w:rPr>
        <w:t xml:space="preserve"> - Fica aprovado o Regulamento do Credenciamento para Serviços de Consultoria e Capacitação para Mecanismos de Fomento à Cultura, que será divulgado no endereço eletrônico da Secretaria de Cultura (</w:t>
      </w:r>
      <w:hyperlink r:id="rId8" w:history="1">
        <w:r w:rsidRPr="009351C7">
          <w:rPr>
            <w:rStyle w:val="Hyperlink"/>
            <w:color w:val="auto"/>
            <w:sz w:val="22"/>
            <w:szCs w:val="22"/>
          </w:rPr>
          <w:t>www.cultura.ba.gov.br</w:t>
        </w:r>
      </w:hyperlink>
      <w:r w:rsidRPr="009351C7">
        <w:rPr>
          <w:color w:val="auto"/>
          <w:sz w:val="22"/>
          <w:szCs w:val="22"/>
        </w:rPr>
        <w:t>).</w:t>
      </w:r>
    </w:p>
    <w:p w:rsidR="00765CB2" w:rsidRPr="009351C7" w:rsidRDefault="00765CB2" w:rsidP="00765CB2">
      <w:pPr>
        <w:pStyle w:val="Default"/>
        <w:jc w:val="both"/>
        <w:rPr>
          <w:color w:val="auto"/>
          <w:sz w:val="22"/>
          <w:szCs w:val="22"/>
        </w:rPr>
      </w:pPr>
    </w:p>
    <w:p w:rsidR="00765CB2" w:rsidRPr="009351C7" w:rsidRDefault="00765CB2" w:rsidP="00765CB2">
      <w:pPr>
        <w:pStyle w:val="Default"/>
        <w:ind w:right="-1"/>
        <w:jc w:val="both"/>
        <w:rPr>
          <w:color w:val="auto"/>
          <w:sz w:val="22"/>
          <w:szCs w:val="22"/>
        </w:rPr>
      </w:pPr>
      <w:r w:rsidRPr="0088374F">
        <w:rPr>
          <w:b/>
          <w:color w:val="auto"/>
          <w:sz w:val="22"/>
          <w:szCs w:val="22"/>
        </w:rPr>
        <w:lastRenderedPageBreak/>
        <w:t>Parágrafo único.</w:t>
      </w:r>
      <w:r w:rsidRPr="009351C7">
        <w:rPr>
          <w:color w:val="auto"/>
          <w:sz w:val="22"/>
          <w:szCs w:val="22"/>
        </w:rPr>
        <w:t xml:space="preserve"> O processo de credenciamento observará os critérios técnicos e específicos para a prestação de serviços previstos no sobredito Regulamento.</w:t>
      </w:r>
    </w:p>
    <w:p w:rsidR="00765CB2" w:rsidRPr="009351C7" w:rsidRDefault="00765CB2" w:rsidP="00765CB2">
      <w:pPr>
        <w:pStyle w:val="Default"/>
        <w:ind w:right="-1"/>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4º -</w:t>
      </w:r>
      <w:r w:rsidRPr="009351C7">
        <w:rPr>
          <w:color w:val="auto"/>
          <w:sz w:val="22"/>
          <w:szCs w:val="22"/>
        </w:rPr>
        <w:t xml:space="preserve"> O credenciamento será disponibilizado para os interessados, através de meio eletrônico, acessível no endereço da Secretaria de Cultura: www.cultura.ba.gov.br.</w:t>
      </w:r>
    </w:p>
    <w:p w:rsidR="00765CB2" w:rsidRPr="009351C7" w:rsidRDefault="00765CB2" w:rsidP="00765CB2">
      <w:pPr>
        <w:pStyle w:val="Default"/>
        <w:jc w:val="both"/>
        <w:rPr>
          <w:sz w:val="22"/>
          <w:szCs w:val="22"/>
        </w:rPr>
      </w:pPr>
    </w:p>
    <w:p w:rsidR="00765CB2" w:rsidRPr="0088374F" w:rsidRDefault="00765CB2" w:rsidP="00765CB2">
      <w:pPr>
        <w:pStyle w:val="Default"/>
        <w:jc w:val="both"/>
        <w:rPr>
          <w:sz w:val="22"/>
          <w:szCs w:val="22"/>
        </w:rPr>
      </w:pPr>
      <w:r w:rsidRPr="009351C7">
        <w:rPr>
          <w:b/>
          <w:bCs/>
          <w:color w:val="auto"/>
          <w:sz w:val="22"/>
          <w:szCs w:val="22"/>
        </w:rPr>
        <w:t>§ 1º</w:t>
      </w:r>
      <w:r w:rsidRPr="009351C7">
        <w:rPr>
          <w:bCs/>
          <w:color w:val="auto"/>
          <w:sz w:val="22"/>
          <w:szCs w:val="22"/>
        </w:rPr>
        <w:t xml:space="preserve"> </w:t>
      </w:r>
      <w:r w:rsidRPr="009F1BCE">
        <w:rPr>
          <w:b/>
          <w:spacing w:val="-1"/>
          <w:sz w:val="22"/>
          <w:szCs w:val="22"/>
        </w:rPr>
        <w:t>A</w:t>
      </w:r>
      <w:r w:rsidRPr="009F1BCE">
        <w:rPr>
          <w:b/>
          <w:sz w:val="22"/>
          <w:szCs w:val="22"/>
        </w:rPr>
        <w:t>s</w:t>
      </w:r>
      <w:r>
        <w:rPr>
          <w:b/>
          <w:sz w:val="22"/>
          <w:szCs w:val="22"/>
        </w:rPr>
        <w:t xml:space="preserve"> </w:t>
      </w:r>
      <w:r w:rsidRPr="009F1BCE">
        <w:rPr>
          <w:b/>
          <w:spacing w:val="-1"/>
          <w:sz w:val="22"/>
          <w:szCs w:val="22"/>
        </w:rPr>
        <w:t>i</w:t>
      </w:r>
      <w:r w:rsidRPr="009F1BCE">
        <w:rPr>
          <w:b/>
          <w:sz w:val="22"/>
          <w:szCs w:val="22"/>
        </w:rPr>
        <w:t>n</w:t>
      </w:r>
      <w:r w:rsidRPr="009F1BCE">
        <w:rPr>
          <w:b/>
          <w:spacing w:val="1"/>
          <w:sz w:val="22"/>
          <w:szCs w:val="22"/>
        </w:rPr>
        <w:t>s</w:t>
      </w:r>
      <w:r w:rsidRPr="009F1BCE">
        <w:rPr>
          <w:b/>
          <w:sz w:val="22"/>
          <w:szCs w:val="22"/>
        </w:rPr>
        <w:t>cr</w:t>
      </w:r>
      <w:r w:rsidRPr="009F1BCE">
        <w:rPr>
          <w:b/>
          <w:spacing w:val="-1"/>
          <w:sz w:val="22"/>
          <w:szCs w:val="22"/>
        </w:rPr>
        <w:t>i</w:t>
      </w:r>
      <w:r w:rsidRPr="009F1BCE">
        <w:rPr>
          <w:b/>
          <w:sz w:val="22"/>
          <w:szCs w:val="22"/>
        </w:rPr>
        <w:t>çõ</w:t>
      </w:r>
      <w:r w:rsidRPr="009F1BCE">
        <w:rPr>
          <w:b/>
          <w:spacing w:val="-2"/>
          <w:sz w:val="22"/>
          <w:szCs w:val="22"/>
        </w:rPr>
        <w:t>e</w:t>
      </w:r>
      <w:r w:rsidRPr="009F1BCE">
        <w:rPr>
          <w:b/>
          <w:sz w:val="22"/>
          <w:szCs w:val="22"/>
        </w:rPr>
        <w:t>s</w:t>
      </w:r>
      <w:r>
        <w:rPr>
          <w:b/>
          <w:sz w:val="22"/>
          <w:szCs w:val="22"/>
        </w:rPr>
        <w:t xml:space="preserve"> </w:t>
      </w:r>
      <w:r w:rsidRPr="009F1BCE">
        <w:rPr>
          <w:b/>
          <w:sz w:val="22"/>
          <w:szCs w:val="22"/>
        </w:rPr>
        <w:t>para</w:t>
      </w:r>
      <w:r>
        <w:rPr>
          <w:b/>
          <w:sz w:val="22"/>
          <w:szCs w:val="22"/>
        </w:rPr>
        <w:t xml:space="preserve"> </w:t>
      </w:r>
      <w:r w:rsidRPr="009F1BCE">
        <w:rPr>
          <w:b/>
          <w:sz w:val="22"/>
          <w:szCs w:val="22"/>
        </w:rPr>
        <w:t>c</w:t>
      </w:r>
      <w:r w:rsidRPr="009F1BCE">
        <w:rPr>
          <w:b/>
          <w:spacing w:val="-2"/>
          <w:sz w:val="22"/>
          <w:szCs w:val="22"/>
        </w:rPr>
        <w:t>r</w:t>
      </w:r>
      <w:r w:rsidRPr="009F1BCE">
        <w:rPr>
          <w:b/>
          <w:sz w:val="22"/>
          <w:szCs w:val="22"/>
        </w:rPr>
        <w:t>eden</w:t>
      </w:r>
      <w:r w:rsidRPr="009F1BCE">
        <w:rPr>
          <w:b/>
          <w:spacing w:val="-2"/>
          <w:sz w:val="22"/>
          <w:szCs w:val="22"/>
        </w:rPr>
        <w:t>c</w:t>
      </w:r>
      <w:r w:rsidRPr="009F1BCE">
        <w:rPr>
          <w:b/>
          <w:spacing w:val="1"/>
          <w:sz w:val="22"/>
          <w:szCs w:val="22"/>
        </w:rPr>
        <w:t>i</w:t>
      </w:r>
      <w:r w:rsidRPr="009F1BCE">
        <w:rPr>
          <w:b/>
          <w:spacing w:val="-2"/>
          <w:sz w:val="22"/>
          <w:szCs w:val="22"/>
        </w:rPr>
        <w:t>a</w:t>
      </w:r>
      <w:r w:rsidRPr="009F1BCE">
        <w:rPr>
          <w:b/>
          <w:spacing w:val="1"/>
          <w:sz w:val="22"/>
          <w:szCs w:val="22"/>
        </w:rPr>
        <w:t>m</w:t>
      </w:r>
      <w:r w:rsidRPr="009F1BCE">
        <w:rPr>
          <w:b/>
          <w:sz w:val="22"/>
          <w:szCs w:val="22"/>
        </w:rPr>
        <w:t>en</w:t>
      </w:r>
      <w:r w:rsidRPr="009F1BCE">
        <w:rPr>
          <w:b/>
          <w:spacing w:val="-1"/>
          <w:sz w:val="22"/>
          <w:szCs w:val="22"/>
        </w:rPr>
        <w:t>t</w:t>
      </w:r>
      <w:r w:rsidRPr="009F1BCE">
        <w:rPr>
          <w:b/>
          <w:sz w:val="22"/>
          <w:szCs w:val="22"/>
        </w:rPr>
        <w:t>o</w:t>
      </w:r>
      <w:r>
        <w:rPr>
          <w:b/>
          <w:sz w:val="22"/>
          <w:szCs w:val="22"/>
        </w:rPr>
        <w:t xml:space="preserve"> </w:t>
      </w:r>
      <w:r w:rsidRPr="009F1BCE">
        <w:rPr>
          <w:b/>
          <w:spacing w:val="1"/>
          <w:sz w:val="22"/>
          <w:szCs w:val="22"/>
        </w:rPr>
        <w:t>s</w:t>
      </w:r>
      <w:r w:rsidRPr="009F1BCE">
        <w:rPr>
          <w:b/>
          <w:sz w:val="22"/>
          <w:szCs w:val="22"/>
        </w:rPr>
        <w:t>er</w:t>
      </w:r>
      <w:r w:rsidRPr="009F1BCE">
        <w:rPr>
          <w:b/>
          <w:spacing w:val="-2"/>
          <w:sz w:val="22"/>
          <w:szCs w:val="22"/>
        </w:rPr>
        <w:t>ã</w:t>
      </w:r>
      <w:r w:rsidRPr="009F1BCE">
        <w:rPr>
          <w:b/>
          <w:sz w:val="22"/>
          <w:szCs w:val="22"/>
        </w:rPr>
        <w:t>o</w:t>
      </w:r>
      <w:r>
        <w:rPr>
          <w:b/>
          <w:sz w:val="22"/>
          <w:szCs w:val="22"/>
        </w:rPr>
        <w:t xml:space="preserve"> </w:t>
      </w:r>
      <w:r w:rsidRPr="009F1BCE">
        <w:rPr>
          <w:b/>
          <w:sz w:val="22"/>
          <w:szCs w:val="22"/>
        </w:rPr>
        <w:t>re</w:t>
      </w:r>
      <w:r w:rsidRPr="009F1BCE">
        <w:rPr>
          <w:b/>
          <w:spacing w:val="-2"/>
          <w:sz w:val="22"/>
          <w:szCs w:val="22"/>
        </w:rPr>
        <w:t>c</w:t>
      </w:r>
      <w:r w:rsidRPr="009F1BCE">
        <w:rPr>
          <w:b/>
          <w:sz w:val="22"/>
          <w:szCs w:val="22"/>
        </w:rPr>
        <w:t>eb</w:t>
      </w:r>
      <w:r w:rsidRPr="009F1BCE">
        <w:rPr>
          <w:b/>
          <w:spacing w:val="1"/>
          <w:sz w:val="22"/>
          <w:szCs w:val="22"/>
        </w:rPr>
        <w:t>i</w:t>
      </w:r>
      <w:r w:rsidRPr="009F1BCE">
        <w:rPr>
          <w:b/>
          <w:sz w:val="22"/>
          <w:szCs w:val="22"/>
        </w:rPr>
        <w:t>d</w:t>
      </w:r>
      <w:r w:rsidRPr="009F1BCE">
        <w:rPr>
          <w:b/>
          <w:spacing w:val="-2"/>
          <w:sz w:val="22"/>
          <w:szCs w:val="22"/>
        </w:rPr>
        <w:t>a</w:t>
      </w:r>
      <w:r w:rsidRPr="009F1BCE">
        <w:rPr>
          <w:b/>
          <w:sz w:val="22"/>
          <w:szCs w:val="22"/>
        </w:rPr>
        <w:t>s</w:t>
      </w:r>
      <w:r>
        <w:rPr>
          <w:b/>
          <w:sz w:val="22"/>
          <w:szCs w:val="22"/>
        </w:rPr>
        <w:t xml:space="preserve"> </w:t>
      </w:r>
      <w:r w:rsidRPr="009F1BCE">
        <w:rPr>
          <w:b/>
          <w:sz w:val="22"/>
          <w:szCs w:val="22"/>
        </w:rPr>
        <w:t>en</w:t>
      </w:r>
      <w:r w:rsidRPr="009F1BCE">
        <w:rPr>
          <w:b/>
          <w:spacing w:val="-1"/>
          <w:sz w:val="22"/>
          <w:szCs w:val="22"/>
        </w:rPr>
        <w:t>t</w:t>
      </w:r>
      <w:r w:rsidRPr="009F1BCE">
        <w:rPr>
          <w:b/>
          <w:sz w:val="22"/>
          <w:szCs w:val="22"/>
        </w:rPr>
        <w:t>re</w:t>
      </w:r>
      <w:r>
        <w:rPr>
          <w:b/>
          <w:sz w:val="22"/>
          <w:szCs w:val="22"/>
        </w:rPr>
        <w:t xml:space="preserve"> </w:t>
      </w:r>
      <w:r w:rsidRPr="009F1BCE">
        <w:rPr>
          <w:b/>
          <w:sz w:val="22"/>
          <w:szCs w:val="22"/>
        </w:rPr>
        <w:t>os</w:t>
      </w:r>
      <w:r>
        <w:rPr>
          <w:b/>
          <w:sz w:val="22"/>
          <w:szCs w:val="22"/>
        </w:rPr>
        <w:t xml:space="preserve"> </w:t>
      </w:r>
      <w:r w:rsidRPr="009F1BCE">
        <w:rPr>
          <w:b/>
          <w:sz w:val="22"/>
          <w:szCs w:val="22"/>
        </w:rPr>
        <w:t>d</w:t>
      </w:r>
      <w:r w:rsidRPr="009F1BCE">
        <w:rPr>
          <w:b/>
          <w:spacing w:val="1"/>
          <w:sz w:val="22"/>
          <w:szCs w:val="22"/>
        </w:rPr>
        <w:t>i</w:t>
      </w:r>
      <w:r w:rsidRPr="009F1BCE">
        <w:rPr>
          <w:b/>
          <w:spacing w:val="-2"/>
          <w:sz w:val="22"/>
          <w:szCs w:val="22"/>
        </w:rPr>
        <w:t>a</w:t>
      </w:r>
      <w:r w:rsidRPr="009F1BCE">
        <w:rPr>
          <w:b/>
          <w:sz w:val="22"/>
          <w:szCs w:val="22"/>
        </w:rPr>
        <w:t>s</w:t>
      </w:r>
      <w:r>
        <w:rPr>
          <w:b/>
          <w:sz w:val="22"/>
          <w:szCs w:val="22"/>
        </w:rPr>
        <w:t xml:space="preserve"> </w:t>
      </w:r>
      <w:r>
        <w:rPr>
          <w:b/>
          <w:color w:val="auto"/>
          <w:sz w:val="22"/>
          <w:szCs w:val="22"/>
        </w:rPr>
        <w:t>23/05</w:t>
      </w:r>
      <w:r w:rsidRPr="0088374F">
        <w:rPr>
          <w:b/>
          <w:color w:val="auto"/>
          <w:sz w:val="22"/>
          <w:szCs w:val="22"/>
        </w:rPr>
        <w:t xml:space="preserve">/2016 a </w:t>
      </w:r>
      <w:r>
        <w:rPr>
          <w:b/>
          <w:color w:val="auto"/>
          <w:sz w:val="22"/>
          <w:szCs w:val="22"/>
        </w:rPr>
        <w:t>22/06</w:t>
      </w:r>
      <w:r w:rsidRPr="0088374F">
        <w:rPr>
          <w:b/>
          <w:color w:val="auto"/>
          <w:sz w:val="22"/>
          <w:szCs w:val="22"/>
        </w:rPr>
        <w:t>/2016</w:t>
      </w:r>
      <w:r>
        <w:rPr>
          <w:b/>
          <w:color w:val="auto"/>
          <w:sz w:val="22"/>
          <w:szCs w:val="22"/>
        </w:rPr>
        <w:t xml:space="preserve">. </w:t>
      </w:r>
      <w:r w:rsidRPr="00454E7C">
        <w:rPr>
          <w:b/>
          <w:bCs/>
          <w:sz w:val="22"/>
          <w:szCs w:val="22"/>
        </w:rPr>
        <w:t xml:space="preserve">Somente serão aceitos os documentos postados ou entregues </w:t>
      </w:r>
      <w:r>
        <w:rPr>
          <w:b/>
          <w:bCs/>
          <w:sz w:val="22"/>
          <w:szCs w:val="22"/>
        </w:rPr>
        <w:t>a partir das 09</w:t>
      </w:r>
      <w:r w:rsidRPr="0088374F">
        <w:rPr>
          <w:b/>
          <w:bCs/>
          <w:sz w:val="22"/>
          <w:szCs w:val="22"/>
        </w:rPr>
        <w:t>h do prim</w:t>
      </w:r>
      <w:r>
        <w:rPr>
          <w:b/>
          <w:bCs/>
          <w:sz w:val="22"/>
          <w:szCs w:val="22"/>
        </w:rPr>
        <w:t>eiro dia de inscrições até às 17</w:t>
      </w:r>
      <w:r w:rsidRPr="0088374F">
        <w:rPr>
          <w:b/>
          <w:bCs/>
          <w:sz w:val="22"/>
          <w:szCs w:val="22"/>
        </w:rPr>
        <w:t>h do último dia - Horário de Brasília</w:t>
      </w:r>
      <w:r>
        <w:rPr>
          <w:b/>
          <w:bCs/>
          <w:sz w:val="22"/>
          <w:szCs w:val="22"/>
        </w:rPr>
        <w:t>, no endereço e forma indicados no Regulamento</w:t>
      </w:r>
      <w:r w:rsidRPr="0088374F">
        <w:rPr>
          <w:b/>
          <w:bCs/>
          <w:sz w:val="22"/>
          <w:szCs w:val="22"/>
        </w:rPr>
        <w:t xml:space="preserve">. </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9351C7">
        <w:rPr>
          <w:b/>
          <w:bCs/>
          <w:color w:val="auto"/>
          <w:sz w:val="22"/>
          <w:szCs w:val="22"/>
        </w:rPr>
        <w:t>§ 2º</w:t>
      </w:r>
      <w:r w:rsidRPr="009351C7">
        <w:rPr>
          <w:bCs/>
          <w:color w:val="auto"/>
          <w:sz w:val="22"/>
          <w:szCs w:val="22"/>
        </w:rPr>
        <w:t xml:space="preserve"> </w:t>
      </w:r>
      <w:r>
        <w:rPr>
          <w:color w:val="auto"/>
          <w:sz w:val="22"/>
          <w:szCs w:val="22"/>
        </w:rPr>
        <w:t>A primeira lista</w:t>
      </w:r>
      <w:r w:rsidRPr="009351C7">
        <w:rPr>
          <w:color w:val="auto"/>
          <w:sz w:val="22"/>
          <w:szCs w:val="22"/>
        </w:rPr>
        <w:t xml:space="preserve"> de resultado do credenciamento ser</w:t>
      </w:r>
      <w:r>
        <w:rPr>
          <w:color w:val="auto"/>
          <w:sz w:val="22"/>
          <w:szCs w:val="22"/>
        </w:rPr>
        <w:t>á</w:t>
      </w:r>
      <w:r w:rsidRPr="009351C7">
        <w:rPr>
          <w:color w:val="auto"/>
          <w:sz w:val="22"/>
          <w:szCs w:val="22"/>
        </w:rPr>
        <w:t xml:space="preserve"> divulgado no prazo de até 60 (sessenta dias) dias após o término do prazo</w:t>
      </w:r>
      <w:r>
        <w:rPr>
          <w:color w:val="auto"/>
          <w:sz w:val="22"/>
          <w:szCs w:val="22"/>
        </w:rPr>
        <w:t xml:space="preserve"> de inscrição</w:t>
      </w:r>
      <w:r w:rsidRPr="009351C7">
        <w:rPr>
          <w:color w:val="auto"/>
          <w:sz w:val="22"/>
          <w:szCs w:val="22"/>
        </w:rPr>
        <w:t>.</w:t>
      </w:r>
    </w:p>
    <w:p w:rsidR="00765CB2" w:rsidRPr="009351C7" w:rsidRDefault="00765CB2" w:rsidP="00765CB2">
      <w:pPr>
        <w:pStyle w:val="Default"/>
        <w:ind w:right="-1"/>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5º</w:t>
      </w:r>
      <w:r w:rsidRPr="009351C7">
        <w:rPr>
          <w:color w:val="auto"/>
          <w:sz w:val="22"/>
          <w:szCs w:val="22"/>
        </w:rPr>
        <w:t xml:space="preserve"> - O processo de credenciamento obedecer</w:t>
      </w:r>
      <w:r>
        <w:rPr>
          <w:color w:val="auto"/>
          <w:sz w:val="22"/>
          <w:szCs w:val="22"/>
        </w:rPr>
        <w:t>á</w:t>
      </w:r>
      <w:r w:rsidRPr="009351C7">
        <w:rPr>
          <w:color w:val="auto"/>
          <w:sz w:val="22"/>
          <w:szCs w:val="22"/>
        </w:rPr>
        <w:t xml:space="preserve"> aos princípios constitucionais da isonomia, da legalidade, da impessoalidade, da moralidade, da publicidade e da economicidade, observando as seguintes etapas após publicação desta Portaria no Diário Oficial do Estado e divulgação do Regulamento nos termos do Art. 3º:</w:t>
      </w:r>
    </w:p>
    <w:p w:rsidR="00765CB2" w:rsidRPr="009351C7" w:rsidRDefault="00765CB2" w:rsidP="00765CB2">
      <w:pPr>
        <w:pStyle w:val="Default"/>
        <w:numPr>
          <w:ilvl w:val="0"/>
          <w:numId w:val="3"/>
        </w:numPr>
        <w:spacing w:before="60"/>
        <w:jc w:val="both"/>
        <w:rPr>
          <w:color w:val="auto"/>
          <w:sz w:val="22"/>
          <w:szCs w:val="22"/>
        </w:rPr>
      </w:pPr>
      <w:r w:rsidRPr="009351C7">
        <w:rPr>
          <w:color w:val="auto"/>
          <w:sz w:val="22"/>
          <w:szCs w:val="22"/>
        </w:rPr>
        <w:t>publicação de Aviso</w:t>
      </w:r>
      <w:r>
        <w:rPr>
          <w:color w:val="auto"/>
          <w:sz w:val="22"/>
          <w:szCs w:val="22"/>
        </w:rPr>
        <w:t xml:space="preserve"> </w:t>
      </w:r>
      <w:r w:rsidRPr="009351C7">
        <w:rPr>
          <w:color w:val="auto"/>
          <w:sz w:val="22"/>
          <w:szCs w:val="22"/>
        </w:rPr>
        <w:t>de Credenciamento para convocação dos interessados por meio de jornal de grande circulação local e por meio eletrônico;</w:t>
      </w:r>
    </w:p>
    <w:p w:rsidR="00765CB2" w:rsidRPr="009351C7" w:rsidRDefault="00765CB2" w:rsidP="00765CB2">
      <w:pPr>
        <w:pStyle w:val="Default"/>
        <w:numPr>
          <w:ilvl w:val="0"/>
          <w:numId w:val="3"/>
        </w:numPr>
        <w:spacing w:before="60"/>
        <w:jc w:val="both"/>
        <w:rPr>
          <w:color w:val="auto"/>
          <w:sz w:val="22"/>
          <w:szCs w:val="22"/>
        </w:rPr>
      </w:pPr>
      <w:r w:rsidRPr="009351C7">
        <w:rPr>
          <w:color w:val="auto"/>
          <w:sz w:val="22"/>
          <w:szCs w:val="22"/>
        </w:rPr>
        <w:t>execução da inscrição dos profissionais;</w:t>
      </w:r>
    </w:p>
    <w:p w:rsidR="00765CB2" w:rsidRPr="009351C7" w:rsidRDefault="00765CB2" w:rsidP="00765CB2">
      <w:pPr>
        <w:pStyle w:val="Default"/>
        <w:numPr>
          <w:ilvl w:val="0"/>
          <w:numId w:val="3"/>
        </w:numPr>
        <w:spacing w:before="60"/>
        <w:jc w:val="both"/>
        <w:rPr>
          <w:color w:val="auto"/>
          <w:sz w:val="22"/>
          <w:szCs w:val="22"/>
        </w:rPr>
      </w:pPr>
      <w:r w:rsidRPr="009351C7">
        <w:rPr>
          <w:color w:val="auto"/>
          <w:sz w:val="22"/>
          <w:szCs w:val="22"/>
        </w:rPr>
        <w:t>habilitação e classificação dos credenciados</w:t>
      </w:r>
      <w:r>
        <w:rPr>
          <w:color w:val="auto"/>
          <w:sz w:val="22"/>
          <w:szCs w:val="22"/>
        </w:rPr>
        <w:t>, com publicação da respectiva lista</w:t>
      </w:r>
      <w:r w:rsidRPr="009351C7">
        <w:rPr>
          <w:color w:val="auto"/>
          <w:sz w:val="22"/>
          <w:szCs w:val="22"/>
        </w:rPr>
        <w:t xml:space="preserve"> no Diário Oficial do Estado e por meio eletrônico;</w:t>
      </w:r>
    </w:p>
    <w:p w:rsidR="00765CB2" w:rsidRDefault="00765CB2" w:rsidP="00765CB2">
      <w:pPr>
        <w:pStyle w:val="Default"/>
        <w:numPr>
          <w:ilvl w:val="0"/>
          <w:numId w:val="3"/>
        </w:numPr>
        <w:spacing w:before="60"/>
        <w:jc w:val="both"/>
        <w:rPr>
          <w:color w:val="auto"/>
          <w:sz w:val="22"/>
          <w:szCs w:val="22"/>
        </w:rPr>
      </w:pPr>
      <w:r w:rsidRPr="009351C7">
        <w:rPr>
          <w:color w:val="auto"/>
          <w:sz w:val="22"/>
          <w:szCs w:val="22"/>
        </w:rPr>
        <w:t>convocação e respectiva contratação dos credenciados mediante a assinatura do Termo de Adesão, observados</w:t>
      </w:r>
      <w:r>
        <w:rPr>
          <w:color w:val="auto"/>
          <w:sz w:val="22"/>
          <w:szCs w:val="22"/>
        </w:rPr>
        <w:t xml:space="preserve"> a ordem de classificação, </w:t>
      </w:r>
      <w:r w:rsidRPr="00913EDC">
        <w:rPr>
          <w:color w:val="auto"/>
          <w:sz w:val="22"/>
          <w:szCs w:val="22"/>
        </w:rPr>
        <w:t>a</w:t>
      </w:r>
      <w:r w:rsidRPr="009351C7">
        <w:rPr>
          <w:color w:val="auto"/>
          <w:sz w:val="22"/>
          <w:szCs w:val="22"/>
        </w:rPr>
        <w:t xml:space="preserve"> necessidade do serviço</w:t>
      </w:r>
      <w:r>
        <w:rPr>
          <w:color w:val="auto"/>
          <w:sz w:val="22"/>
          <w:szCs w:val="22"/>
        </w:rPr>
        <w:t xml:space="preserve"> e a existência de disponibilidade orçamentária e financeira</w:t>
      </w:r>
      <w:r w:rsidRPr="009351C7">
        <w:rPr>
          <w:color w:val="auto"/>
          <w:sz w:val="22"/>
          <w:szCs w:val="22"/>
        </w:rPr>
        <w:t>.</w:t>
      </w:r>
    </w:p>
    <w:p w:rsidR="00765CB2" w:rsidRPr="00950A92" w:rsidRDefault="00765CB2" w:rsidP="00765CB2">
      <w:pPr>
        <w:pStyle w:val="Default"/>
        <w:numPr>
          <w:ilvl w:val="0"/>
          <w:numId w:val="3"/>
        </w:numPr>
        <w:spacing w:before="60"/>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6º</w:t>
      </w:r>
      <w:r w:rsidRPr="009351C7">
        <w:rPr>
          <w:color w:val="auto"/>
          <w:sz w:val="22"/>
          <w:szCs w:val="22"/>
        </w:rPr>
        <w:t xml:space="preserve"> - O credenciamento para Serviços de Consultoria e Capacitação para Mecanismos de Fomento à Cultura será conduzido por uma Comissão Permanente de Credenciamento composta por servidores da Secretaria de Cultura, designados pelo Secretário de Cultura, instituída através de portaria específica publicada em Diário Oficial do Estado, tendo como atribuições:</w:t>
      </w:r>
    </w:p>
    <w:p w:rsidR="00765CB2" w:rsidRPr="009351C7" w:rsidRDefault="00765CB2" w:rsidP="00765CB2">
      <w:pPr>
        <w:pStyle w:val="Default"/>
        <w:jc w:val="both"/>
        <w:rPr>
          <w:color w:val="auto"/>
          <w:sz w:val="22"/>
          <w:szCs w:val="22"/>
        </w:rPr>
      </w:pPr>
    </w:p>
    <w:p w:rsidR="00765CB2" w:rsidRPr="009351C7" w:rsidRDefault="00765CB2" w:rsidP="00765CB2">
      <w:pPr>
        <w:pStyle w:val="Default"/>
        <w:numPr>
          <w:ilvl w:val="0"/>
          <w:numId w:val="1"/>
        </w:numPr>
        <w:jc w:val="both"/>
        <w:rPr>
          <w:color w:val="auto"/>
          <w:sz w:val="22"/>
          <w:szCs w:val="22"/>
        </w:rPr>
      </w:pPr>
      <w:r w:rsidRPr="009351C7">
        <w:rPr>
          <w:color w:val="auto"/>
          <w:sz w:val="22"/>
          <w:szCs w:val="22"/>
        </w:rPr>
        <w:t xml:space="preserve">zelar pelo monitoramento do cumprimento desta Portaria e dos atos </w:t>
      </w:r>
      <w:r>
        <w:rPr>
          <w:color w:val="auto"/>
          <w:sz w:val="22"/>
          <w:szCs w:val="22"/>
        </w:rPr>
        <w:t xml:space="preserve">normativos </w:t>
      </w:r>
      <w:r w:rsidRPr="009351C7">
        <w:rPr>
          <w:color w:val="auto"/>
          <w:sz w:val="22"/>
          <w:szCs w:val="22"/>
        </w:rPr>
        <w:t>complementares dela decorrentes;</w:t>
      </w:r>
    </w:p>
    <w:p w:rsidR="00765CB2" w:rsidRDefault="00765CB2" w:rsidP="00765CB2">
      <w:pPr>
        <w:pStyle w:val="Default"/>
        <w:numPr>
          <w:ilvl w:val="0"/>
          <w:numId w:val="1"/>
        </w:numPr>
        <w:jc w:val="both"/>
        <w:rPr>
          <w:color w:val="auto"/>
          <w:sz w:val="22"/>
          <w:szCs w:val="22"/>
        </w:rPr>
      </w:pPr>
      <w:r w:rsidRPr="009351C7">
        <w:rPr>
          <w:color w:val="auto"/>
          <w:sz w:val="22"/>
          <w:szCs w:val="22"/>
        </w:rPr>
        <w:t>prestar esclarecimentos aos interessados, a fim de orientá-los sobre interpretação e cumprimento desta Portaria e do Regulamento de credenciamento;</w:t>
      </w:r>
    </w:p>
    <w:p w:rsidR="00765CB2" w:rsidRPr="009351C7" w:rsidRDefault="00765CB2" w:rsidP="00765CB2">
      <w:pPr>
        <w:pStyle w:val="Default"/>
        <w:numPr>
          <w:ilvl w:val="0"/>
          <w:numId w:val="1"/>
        </w:numPr>
        <w:jc w:val="both"/>
        <w:rPr>
          <w:color w:val="auto"/>
          <w:sz w:val="22"/>
          <w:szCs w:val="22"/>
        </w:rPr>
      </w:pPr>
      <w:r>
        <w:rPr>
          <w:color w:val="auto"/>
          <w:sz w:val="22"/>
          <w:szCs w:val="22"/>
        </w:rPr>
        <w:t>receber os requerimentos de inscrições dos interessados;</w:t>
      </w:r>
    </w:p>
    <w:p w:rsidR="00765CB2" w:rsidRPr="009351C7" w:rsidRDefault="00765CB2" w:rsidP="00765CB2">
      <w:pPr>
        <w:pStyle w:val="Default"/>
        <w:numPr>
          <w:ilvl w:val="0"/>
          <w:numId w:val="1"/>
        </w:numPr>
        <w:jc w:val="both"/>
        <w:rPr>
          <w:color w:val="auto"/>
          <w:sz w:val="22"/>
          <w:szCs w:val="22"/>
        </w:rPr>
      </w:pPr>
      <w:r w:rsidRPr="009351C7">
        <w:rPr>
          <w:color w:val="auto"/>
          <w:sz w:val="22"/>
          <w:szCs w:val="22"/>
        </w:rPr>
        <w:t xml:space="preserve">acompanhar e executar todo o processo de credenciamento, conferir os documentos </w:t>
      </w:r>
      <w:r>
        <w:rPr>
          <w:color w:val="auto"/>
          <w:sz w:val="22"/>
          <w:szCs w:val="22"/>
        </w:rPr>
        <w:t>em todas as etapas do credenciamento, exarando</w:t>
      </w:r>
      <w:r w:rsidRPr="009351C7">
        <w:rPr>
          <w:color w:val="auto"/>
          <w:sz w:val="22"/>
          <w:szCs w:val="22"/>
        </w:rPr>
        <w:t xml:space="preserve"> os pareceres técnicos</w:t>
      </w:r>
      <w:r>
        <w:rPr>
          <w:color w:val="auto"/>
          <w:sz w:val="22"/>
          <w:szCs w:val="22"/>
        </w:rPr>
        <w:t xml:space="preserve"> quando exigido pelo Regulamento</w:t>
      </w:r>
      <w:r w:rsidRPr="009351C7">
        <w:rPr>
          <w:color w:val="auto"/>
          <w:sz w:val="22"/>
          <w:szCs w:val="22"/>
        </w:rPr>
        <w:t>;</w:t>
      </w:r>
    </w:p>
    <w:p w:rsidR="00765CB2" w:rsidRDefault="00765CB2" w:rsidP="00765CB2">
      <w:pPr>
        <w:pStyle w:val="Default"/>
        <w:numPr>
          <w:ilvl w:val="0"/>
          <w:numId w:val="1"/>
        </w:numPr>
        <w:jc w:val="both"/>
        <w:rPr>
          <w:color w:val="auto"/>
          <w:sz w:val="22"/>
          <w:szCs w:val="22"/>
        </w:rPr>
      </w:pPr>
      <w:r w:rsidRPr="009351C7">
        <w:rPr>
          <w:color w:val="auto"/>
          <w:sz w:val="22"/>
          <w:szCs w:val="22"/>
        </w:rPr>
        <w:t>proceder</w:t>
      </w:r>
      <w:r>
        <w:rPr>
          <w:color w:val="auto"/>
          <w:sz w:val="22"/>
          <w:szCs w:val="22"/>
        </w:rPr>
        <w:t xml:space="preserve"> à avaliação de desempenho e</w:t>
      </w:r>
      <w:r w:rsidRPr="009351C7">
        <w:rPr>
          <w:color w:val="auto"/>
          <w:sz w:val="22"/>
          <w:szCs w:val="22"/>
        </w:rPr>
        <w:t xml:space="preserve"> ao descredenciamento dos profissionais que o solicite</w:t>
      </w:r>
      <w:r>
        <w:rPr>
          <w:color w:val="auto"/>
          <w:sz w:val="22"/>
          <w:szCs w:val="22"/>
        </w:rPr>
        <w:t>m</w:t>
      </w:r>
      <w:r w:rsidRPr="009351C7">
        <w:rPr>
          <w:color w:val="auto"/>
          <w:sz w:val="22"/>
          <w:szCs w:val="22"/>
        </w:rPr>
        <w:t xml:space="preserve"> ou que descumpram as obrigações previstas no Regulamento e no Termo de Adesão;</w:t>
      </w:r>
    </w:p>
    <w:p w:rsidR="00765CB2" w:rsidRPr="009351C7" w:rsidRDefault="00765CB2" w:rsidP="00765CB2">
      <w:pPr>
        <w:pStyle w:val="Default"/>
        <w:numPr>
          <w:ilvl w:val="0"/>
          <w:numId w:val="1"/>
        </w:numPr>
        <w:jc w:val="both"/>
        <w:rPr>
          <w:color w:val="auto"/>
          <w:sz w:val="22"/>
          <w:szCs w:val="22"/>
        </w:rPr>
      </w:pPr>
      <w:r>
        <w:rPr>
          <w:color w:val="auto"/>
          <w:sz w:val="22"/>
          <w:szCs w:val="22"/>
        </w:rPr>
        <w:t>receber as denúncias resultantes do controle social e adotar as providências administrativas para efetivar as consequências delas decorrentes.</w:t>
      </w:r>
    </w:p>
    <w:p w:rsidR="00765CB2" w:rsidRPr="009351C7" w:rsidRDefault="00765CB2" w:rsidP="00765CB2">
      <w:pPr>
        <w:pStyle w:val="Default"/>
        <w:numPr>
          <w:ilvl w:val="0"/>
          <w:numId w:val="1"/>
        </w:numPr>
        <w:jc w:val="both"/>
        <w:rPr>
          <w:color w:val="auto"/>
          <w:sz w:val="22"/>
          <w:szCs w:val="22"/>
        </w:rPr>
      </w:pPr>
      <w:r w:rsidRPr="009351C7">
        <w:rPr>
          <w:color w:val="auto"/>
          <w:sz w:val="22"/>
          <w:szCs w:val="22"/>
        </w:rPr>
        <w:t>resolver os casos omissos.</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7º</w:t>
      </w:r>
      <w:r w:rsidRPr="009351C7">
        <w:rPr>
          <w:color w:val="auto"/>
          <w:sz w:val="22"/>
          <w:szCs w:val="22"/>
        </w:rPr>
        <w:t xml:space="preserve"> - Fica estendida às entidades vinculadas da Secretaria de Cultura, para fomento a projetos culturais em qualquer fonte de recurso, a adesão ao credenciamento para prestação de serviços de que trata esta Portaria.</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88374F">
        <w:rPr>
          <w:b/>
          <w:color w:val="auto"/>
          <w:sz w:val="22"/>
          <w:szCs w:val="22"/>
        </w:rPr>
        <w:t>Parágrafo único.</w:t>
      </w:r>
      <w:r w:rsidRPr="009351C7">
        <w:rPr>
          <w:color w:val="auto"/>
          <w:sz w:val="22"/>
          <w:szCs w:val="22"/>
        </w:rPr>
        <w:t xml:space="preserve"> A adesão referida no caput deste artigo dar-se-á mediante ato próprio emitido pelo dirigente máximo da Entidade.</w:t>
      </w:r>
    </w:p>
    <w:p w:rsidR="00765CB2" w:rsidRPr="009351C7" w:rsidRDefault="00765CB2" w:rsidP="00765CB2">
      <w:pPr>
        <w:pStyle w:val="Default"/>
        <w:rPr>
          <w:sz w:val="22"/>
          <w:szCs w:val="22"/>
        </w:rPr>
      </w:pPr>
    </w:p>
    <w:p w:rsidR="00765CB2" w:rsidRPr="009351C7" w:rsidRDefault="00765CB2" w:rsidP="00765CB2">
      <w:pPr>
        <w:pStyle w:val="Default"/>
        <w:jc w:val="both"/>
        <w:rPr>
          <w:color w:val="auto"/>
          <w:sz w:val="22"/>
          <w:szCs w:val="22"/>
        </w:rPr>
      </w:pPr>
      <w:r w:rsidRPr="009351C7">
        <w:rPr>
          <w:b/>
          <w:bCs/>
          <w:color w:val="auto"/>
          <w:sz w:val="22"/>
          <w:szCs w:val="22"/>
        </w:rPr>
        <w:lastRenderedPageBreak/>
        <w:t>Art. 8º</w:t>
      </w:r>
      <w:r w:rsidRPr="009351C7">
        <w:rPr>
          <w:color w:val="auto"/>
          <w:sz w:val="22"/>
          <w:szCs w:val="22"/>
        </w:rPr>
        <w:t xml:space="preserve"> -</w:t>
      </w:r>
      <w:r w:rsidRPr="009351C7">
        <w:rPr>
          <w:color w:val="FF0000"/>
          <w:sz w:val="22"/>
          <w:szCs w:val="22"/>
        </w:rPr>
        <w:t xml:space="preserve"> </w:t>
      </w:r>
      <w:r w:rsidRPr="009351C7">
        <w:rPr>
          <w:color w:val="auto"/>
          <w:sz w:val="22"/>
          <w:szCs w:val="22"/>
        </w:rPr>
        <w:t>O prazo de vigência do credenciamento é de 12 (doze) meses, prorrogáveis, a contar da data de publicação desta Portaria no Diário Oficial do Estado da Bahia.</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9º</w:t>
      </w:r>
      <w:r w:rsidRPr="009351C7">
        <w:rPr>
          <w:color w:val="auto"/>
          <w:sz w:val="22"/>
          <w:szCs w:val="22"/>
        </w:rPr>
        <w:t xml:space="preserve"> - Esta Portaria entra em vigor na data de sua publicação.</w:t>
      </w:r>
    </w:p>
    <w:p w:rsidR="00765CB2" w:rsidRPr="009351C7" w:rsidRDefault="00765CB2" w:rsidP="00765CB2">
      <w:pPr>
        <w:pStyle w:val="Default"/>
        <w:jc w:val="both"/>
        <w:rPr>
          <w:b/>
          <w:color w:val="auto"/>
          <w:sz w:val="22"/>
          <w:szCs w:val="22"/>
        </w:rPr>
      </w:pPr>
    </w:p>
    <w:p w:rsidR="00765CB2" w:rsidRPr="009351C7" w:rsidRDefault="00765CB2" w:rsidP="00765CB2">
      <w:pPr>
        <w:pStyle w:val="Default"/>
        <w:jc w:val="both"/>
        <w:rPr>
          <w:color w:val="auto"/>
          <w:sz w:val="22"/>
          <w:szCs w:val="22"/>
        </w:rPr>
      </w:pPr>
      <w:r w:rsidRPr="009351C7">
        <w:rPr>
          <w:b/>
          <w:color w:val="auto"/>
          <w:sz w:val="22"/>
          <w:szCs w:val="22"/>
        </w:rPr>
        <w:t>Art. 10</w:t>
      </w:r>
      <w:r w:rsidRPr="009351C7">
        <w:rPr>
          <w:color w:val="auto"/>
          <w:sz w:val="22"/>
          <w:szCs w:val="22"/>
        </w:rPr>
        <w:t xml:space="preserve"> - Revogam-se as disposições em contrário.</w:t>
      </w:r>
    </w:p>
    <w:p w:rsidR="00765CB2" w:rsidRPr="009351C7" w:rsidRDefault="00765CB2" w:rsidP="00765CB2">
      <w:pPr>
        <w:pStyle w:val="Default"/>
        <w:jc w:val="both"/>
        <w:rPr>
          <w:color w:val="auto"/>
          <w:sz w:val="22"/>
          <w:szCs w:val="22"/>
        </w:rPr>
      </w:pPr>
    </w:p>
    <w:p w:rsidR="00765CB2" w:rsidRPr="009351C7" w:rsidRDefault="00765CB2" w:rsidP="00765CB2">
      <w:pPr>
        <w:pStyle w:val="Default"/>
        <w:jc w:val="center"/>
        <w:rPr>
          <w:b/>
          <w:color w:val="auto"/>
          <w:sz w:val="22"/>
          <w:szCs w:val="22"/>
        </w:rPr>
      </w:pPr>
      <w:r w:rsidRPr="009351C7">
        <w:rPr>
          <w:b/>
          <w:color w:val="auto"/>
          <w:sz w:val="22"/>
          <w:szCs w:val="22"/>
        </w:rPr>
        <w:t>ANTONIO JORGE PORTUGAL</w:t>
      </w:r>
    </w:p>
    <w:p w:rsidR="00765CB2" w:rsidRPr="009351C7" w:rsidRDefault="00765CB2" w:rsidP="00765CB2">
      <w:pPr>
        <w:pStyle w:val="Default"/>
        <w:jc w:val="center"/>
        <w:rPr>
          <w:color w:val="auto"/>
          <w:sz w:val="22"/>
          <w:szCs w:val="22"/>
        </w:rPr>
      </w:pPr>
      <w:r w:rsidRPr="009351C7">
        <w:rPr>
          <w:color w:val="auto"/>
          <w:sz w:val="22"/>
          <w:szCs w:val="22"/>
        </w:rPr>
        <w:t>Secretário de Cultura</w:t>
      </w:r>
    </w:p>
    <w:p w:rsidR="001A4DA8" w:rsidRDefault="001A4DA8"/>
    <w:sectPr w:rsidR="001A4DA8" w:rsidSect="001A4DA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F3E" w:rsidRDefault="00970F3E" w:rsidP="00765CB2">
      <w:r>
        <w:separator/>
      </w:r>
    </w:p>
  </w:endnote>
  <w:endnote w:type="continuationSeparator" w:id="1">
    <w:p w:rsidR="00970F3E" w:rsidRDefault="00970F3E" w:rsidP="00765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F3E" w:rsidRDefault="00970F3E" w:rsidP="00765CB2">
      <w:r>
        <w:separator/>
      </w:r>
    </w:p>
  </w:footnote>
  <w:footnote w:type="continuationSeparator" w:id="1">
    <w:p w:rsidR="00970F3E" w:rsidRDefault="00970F3E" w:rsidP="00765CB2">
      <w:r>
        <w:continuationSeparator/>
      </w:r>
    </w:p>
  </w:footnote>
  <w:footnote w:id="2">
    <w:p w:rsidR="00765CB2" w:rsidRPr="0088374F" w:rsidRDefault="00765CB2" w:rsidP="00765CB2">
      <w:pPr>
        <w:pStyle w:val="Textodenotaderodap"/>
        <w:jc w:val="both"/>
        <w:rPr>
          <w:sz w:val="16"/>
          <w:szCs w:val="16"/>
        </w:rPr>
      </w:pPr>
      <w:r w:rsidRPr="0088374F">
        <w:rPr>
          <w:rStyle w:val="Refdenotaderodap"/>
          <w:sz w:val="16"/>
          <w:szCs w:val="16"/>
        </w:rPr>
        <w:footnoteRef/>
      </w:r>
      <w:r w:rsidRPr="0088374F">
        <w:rPr>
          <w:sz w:val="16"/>
          <w:szCs w:val="16"/>
        </w:rPr>
        <w:t xml:space="preserve"> Dispõe sobre as licitações e contratos administrativos pertinentes a obras, serviços, compras, alienações e locações no âmbito dos Poderes do Estado da Bahia e dá outras providências.</w:t>
      </w:r>
    </w:p>
  </w:footnote>
  <w:footnote w:id="3">
    <w:p w:rsidR="00765CB2" w:rsidRPr="0088374F" w:rsidRDefault="00765CB2" w:rsidP="00765CB2">
      <w:pPr>
        <w:pStyle w:val="Textodenotaderodap"/>
        <w:rPr>
          <w:sz w:val="16"/>
          <w:szCs w:val="16"/>
        </w:rPr>
      </w:pPr>
      <w:r w:rsidRPr="0088374F">
        <w:rPr>
          <w:rStyle w:val="Refdenotaderodap"/>
          <w:sz w:val="16"/>
          <w:szCs w:val="16"/>
        </w:rPr>
        <w:footnoteRef/>
      </w:r>
      <w:r w:rsidRPr="0088374F">
        <w:rPr>
          <w:sz w:val="16"/>
          <w:szCs w:val="16"/>
        </w:rPr>
        <w:t xml:space="preserve"> Cria o Fundo de Cultura da Bahia - FCBA e dá outras providências.</w:t>
      </w:r>
    </w:p>
  </w:footnote>
  <w:footnote w:id="4">
    <w:p w:rsidR="00765CB2" w:rsidRPr="0088374F" w:rsidRDefault="00765CB2" w:rsidP="00765CB2">
      <w:pPr>
        <w:pStyle w:val="Textodenotaderodap"/>
        <w:rPr>
          <w:sz w:val="16"/>
          <w:szCs w:val="16"/>
        </w:rPr>
      </w:pPr>
      <w:r w:rsidRPr="0088374F">
        <w:rPr>
          <w:rStyle w:val="Refdenotaderodap"/>
          <w:sz w:val="16"/>
          <w:szCs w:val="16"/>
        </w:rPr>
        <w:footnoteRef/>
      </w:r>
      <w:r w:rsidRPr="0088374F">
        <w:rPr>
          <w:sz w:val="16"/>
          <w:szCs w:val="16"/>
        </w:rPr>
        <w:t xml:space="preserve"> Dispõe sobre a concessão de incentivo fiscal para financiamento de projetos culturais, e dá outras providências.</w:t>
      </w:r>
    </w:p>
  </w:footnote>
  <w:footnote w:id="5">
    <w:p w:rsidR="00765CB2" w:rsidRPr="0088374F" w:rsidRDefault="00765CB2" w:rsidP="00765CB2">
      <w:pPr>
        <w:pStyle w:val="Textodenotaderodap"/>
        <w:jc w:val="both"/>
        <w:rPr>
          <w:sz w:val="16"/>
          <w:szCs w:val="16"/>
        </w:rPr>
      </w:pPr>
      <w:r w:rsidRPr="0088374F">
        <w:rPr>
          <w:rStyle w:val="Refdenotaderodap"/>
          <w:sz w:val="16"/>
          <w:szCs w:val="16"/>
        </w:rPr>
        <w:footnoteRef/>
      </w:r>
      <w:r w:rsidRPr="0088374F">
        <w:rPr>
          <w:sz w:val="16"/>
          <w:szCs w:val="16"/>
        </w:rPr>
        <w:t xml:space="preserve"> Altera a estrutura organizacional e de cargos em comissão da Secretaria da Cultura e Turismo, bem como dispositivos das Leis nos 7.015, de 09 de dezembro de 1996 , e 9.431, de 11 de fevereiro de 2005.</w:t>
      </w:r>
    </w:p>
  </w:footnote>
  <w:footnote w:id="6">
    <w:p w:rsidR="00765CB2" w:rsidRPr="0088374F" w:rsidRDefault="00765CB2" w:rsidP="00765CB2">
      <w:pPr>
        <w:pStyle w:val="Textodenotaderodap"/>
        <w:rPr>
          <w:sz w:val="16"/>
          <w:szCs w:val="16"/>
        </w:rPr>
      </w:pPr>
      <w:r w:rsidRPr="0088374F">
        <w:rPr>
          <w:rStyle w:val="Refdenotaderodap"/>
          <w:sz w:val="16"/>
          <w:szCs w:val="16"/>
        </w:rPr>
        <w:footnoteRef/>
      </w:r>
      <w:r w:rsidRPr="0088374F">
        <w:rPr>
          <w:sz w:val="16"/>
          <w:szCs w:val="16"/>
        </w:rPr>
        <w:t xml:space="preserve"> Aprova o Regulamento do Fundo de Cultura da Bahia, e dá outras providências.</w:t>
      </w:r>
    </w:p>
  </w:footnote>
  <w:footnote w:id="7">
    <w:p w:rsidR="00765CB2" w:rsidRPr="0088374F" w:rsidRDefault="00765CB2" w:rsidP="00765CB2">
      <w:pPr>
        <w:pStyle w:val="Textodenotaderodap"/>
      </w:pPr>
      <w:r w:rsidRPr="0088374F">
        <w:rPr>
          <w:rStyle w:val="Refdenotaderodap"/>
          <w:sz w:val="16"/>
          <w:szCs w:val="16"/>
        </w:rPr>
        <w:footnoteRef/>
      </w:r>
      <w:r w:rsidRPr="0088374F">
        <w:rPr>
          <w:sz w:val="16"/>
          <w:szCs w:val="16"/>
        </w:rPr>
        <w:t xml:space="preserve"> Aprova o Regulamento do Programa Estadual de Incentivo ao Patrocínio Cultural - FAZCULTURA.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1405"/>
    <w:multiLevelType w:val="hybridMultilevel"/>
    <w:tmpl w:val="BABA1D2C"/>
    <w:lvl w:ilvl="0" w:tplc="7248CC90">
      <w:start w:val="1"/>
      <w:numFmt w:val="upperRoman"/>
      <w:lvlText w:val="%1."/>
      <w:lvlJc w:val="left"/>
      <w:pPr>
        <w:tabs>
          <w:tab w:val="num" w:pos="1080"/>
        </w:tabs>
        <w:ind w:left="1080" w:hanging="720"/>
      </w:pPr>
      <w:rPr>
        <w:rFonts w:hint="default"/>
      </w:rPr>
    </w:lvl>
    <w:lvl w:ilvl="1" w:tplc="39C80D10">
      <w:numFmt w:val="none"/>
      <w:lvlText w:val=""/>
      <w:lvlJc w:val="left"/>
      <w:pPr>
        <w:tabs>
          <w:tab w:val="num" w:pos="360"/>
        </w:tabs>
      </w:pPr>
    </w:lvl>
    <w:lvl w:ilvl="2" w:tplc="653ACAB2">
      <w:numFmt w:val="none"/>
      <w:lvlText w:val=""/>
      <w:lvlJc w:val="left"/>
      <w:pPr>
        <w:tabs>
          <w:tab w:val="num" w:pos="360"/>
        </w:tabs>
      </w:pPr>
    </w:lvl>
    <w:lvl w:ilvl="3" w:tplc="8F682BF8">
      <w:numFmt w:val="none"/>
      <w:lvlText w:val=""/>
      <w:lvlJc w:val="left"/>
      <w:pPr>
        <w:tabs>
          <w:tab w:val="num" w:pos="360"/>
        </w:tabs>
      </w:pPr>
    </w:lvl>
    <w:lvl w:ilvl="4" w:tplc="557853DC">
      <w:numFmt w:val="none"/>
      <w:lvlText w:val=""/>
      <w:lvlJc w:val="left"/>
      <w:pPr>
        <w:tabs>
          <w:tab w:val="num" w:pos="360"/>
        </w:tabs>
      </w:pPr>
    </w:lvl>
    <w:lvl w:ilvl="5" w:tplc="96AA5C9A">
      <w:numFmt w:val="none"/>
      <w:lvlText w:val=""/>
      <w:lvlJc w:val="left"/>
      <w:pPr>
        <w:tabs>
          <w:tab w:val="num" w:pos="360"/>
        </w:tabs>
      </w:pPr>
    </w:lvl>
    <w:lvl w:ilvl="6" w:tplc="D2B619B0">
      <w:numFmt w:val="none"/>
      <w:lvlText w:val=""/>
      <w:lvlJc w:val="left"/>
      <w:pPr>
        <w:tabs>
          <w:tab w:val="num" w:pos="360"/>
        </w:tabs>
      </w:pPr>
    </w:lvl>
    <w:lvl w:ilvl="7" w:tplc="CC485C02">
      <w:numFmt w:val="none"/>
      <w:lvlText w:val=""/>
      <w:lvlJc w:val="left"/>
      <w:pPr>
        <w:tabs>
          <w:tab w:val="num" w:pos="360"/>
        </w:tabs>
      </w:pPr>
    </w:lvl>
    <w:lvl w:ilvl="8" w:tplc="4A669568">
      <w:numFmt w:val="none"/>
      <w:lvlText w:val=""/>
      <w:lvlJc w:val="left"/>
      <w:pPr>
        <w:tabs>
          <w:tab w:val="num" w:pos="360"/>
        </w:tabs>
      </w:pPr>
    </w:lvl>
  </w:abstractNum>
  <w:abstractNum w:abstractNumId="1">
    <w:nsid w:val="44635526"/>
    <w:multiLevelType w:val="hybridMultilevel"/>
    <w:tmpl w:val="ADA28A2A"/>
    <w:lvl w:ilvl="0" w:tplc="0F6264EE">
      <w:start w:val="1"/>
      <w:numFmt w:val="upperRoman"/>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57FE76B8"/>
    <w:multiLevelType w:val="multilevel"/>
    <w:tmpl w:val="F86AB96E"/>
    <w:lvl w:ilvl="0">
      <w:start w:val="1"/>
      <w:numFmt w:val="upperRoman"/>
      <w:lvlText w:val="%1."/>
      <w:lvlJc w:val="left"/>
      <w:pPr>
        <w:tabs>
          <w:tab w:val="num" w:pos="1080"/>
        </w:tabs>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65CB2"/>
    <w:rsid w:val="001A4DA8"/>
    <w:rsid w:val="00765CB2"/>
    <w:rsid w:val="0088761E"/>
    <w:rsid w:val="00970F3E"/>
    <w:rsid w:val="00CD6448"/>
    <w:rsid w:val="00ED15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B2"/>
    <w:pPr>
      <w:widowControl w:val="0"/>
      <w:autoSpaceDE w:val="0"/>
      <w:autoSpaceDN w:val="0"/>
      <w:adjustRightInd w:val="0"/>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65CB2"/>
    <w:pPr>
      <w:autoSpaceDE w:val="0"/>
      <w:autoSpaceDN w:val="0"/>
      <w:adjustRightInd w:val="0"/>
      <w:jc w:val="left"/>
    </w:pPr>
    <w:rPr>
      <w:rFonts w:ascii="Times New Roman" w:eastAsia="Times New Roman" w:hAnsi="Times New Roman" w:cs="Times New Roman"/>
      <w:color w:val="000000"/>
      <w:sz w:val="24"/>
      <w:szCs w:val="24"/>
      <w:lang w:eastAsia="pt-BR"/>
    </w:rPr>
  </w:style>
  <w:style w:type="character" w:styleId="Hyperlink">
    <w:name w:val="Hyperlink"/>
    <w:basedOn w:val="Fontepargpadro"/>
    <w:rsid w:val="00765CB2"/>
    <w:rPr>
      <w:color w:val="0000FF"/>
      <w:u w:val="single"/>
    </w:rPr>
  </w:style>
  <w:style w:type="paragraph" w:styleId="Textodenotaderodap">
    <w:name w:val="footnote text"/>
    <w:basedOn w:val="Normal"/>
    <w:link w:val="TextodenotaderodapChar"/>
    <w:rsid w:val="00765CB2"/>
  </w:style>
  <w:style w:type="character" w:customStyle="1" w:styleId="TextodenotaderodapChar">
    <w:name w:val="Texto de nota de rodapé Char"/>
    <w:basedOn w:val="Fontepargpadro"/>
    <w:link w:val="Textodenotaderodap"/>
    <w:rsid w:val="00765CB2"/>
    <w:rPr>
      <w:rFonts w:ascii="Times New Roman" w:eastAsia="Times New Roman" w:hAnsi="Times New Roman" w:cs="Times New Roman"/>
      <w:sz w:val="20"/>
      <w:szCs w:val="20"/>
      <w:lang w:eastAsia="pt-BR"/>
    </w:rPr>
  </w:style>
  <w:style w:type="character" w:styleId="Refdenotaderodap">
    <w:name w:val="footnote reference"/>
    <w:basedOn w:val="Fontepargpadro"/>
    <w:rsid w:val="00765CB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a.ba.gov.b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5080</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bianca.magina</dc:creator>
  <cp:lastModifiedBy>bianca.magina</cp:lastModifiedBy>
  <cp:revision>2</cp:revision>
  <cp:lastPrinted>2016-05-18T19:28:00Z</cp:lastPrinted>
  <dcterms:created xsi:type="dcterms:W3CDTF">2016-05-18T19:27:00Z</dcterms:created>
  <dcterms:modified xsi:type="dcterms:W3CDTF">2016-05-18T19:28:00Z</dcterms:modified>
</cp:coreProperties>
</file>