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45" w:rsidRPr="00241568" w:rsidRDefault="00222945" w:rsidP="00241568">
      <w:pPr>
        <w:pStyle w:val="NormalWeb"/>
        <w:spacing w:before="0" w:beforeAutospacing="0" w:after="0" w:afterAutospacing="0"/>
        <w:jc w:val="both"/>
        <w:rPr>
          <w:rFonts w:ascii="Arial" w:hAnsi="Arial" w:cs="Arial"/>
          <w:b/>
          <w:bCs/>
          <w:color w:val="000000"/>
          <w:sz w:val="16"/>
          <w:szCs w:val="16"/>
        </w:rPr>
      </w:pPr>
      <w:r w:rsidRPr="00241568">
        <w:rPr>
          <w:rFonts w:ascii="Arial" w:hAnsi="Arial" w:cs="Arial"/>
          <w:b/>
          <w:bCs/>
          <w:color w:val="000000"/>
          <w:sz w:val="16"/>
          <w:szCs w:val="16"/>
        </w:rPr>
        <w:t>PORTARIA N° 332/2025</w:t>
      </w:r>
      <w:r w:rsidR="00241568">
        <w:rPr>
          <w:rFonts w:ascii="Arial" w:hAnsi="Arial" w:cs="Arial"/>
          <w:b/>
          <w:bCs/>
          <w:color w:val="000000"/>
          <w:sz w:val="16"/>
          <w:szCs w:val="16"/>
        </w:rPr>
        <w:t xml:space="preserve">. </w:t>
      </w:r>
      <w:bookmarkStart w:id="0" w:name="_GoBack"/>
      <w:bookmarkEnd w:id="0"/>
      <w:r w:rsidRPr="00241568">
        <w:rPr>
          <w:rFonts w:ascii="Arial" w:hAnsi="Arial" w:cs="Arial"/>
          <w:color w:val="000000"/>
          <w:sz w:val="16"/>
          <w:szCs w:val="16"/>
        </w:rPr>
        <w:t>A SECRETÁRIA DA EDUCAÇÃO DO ESTADO DA BAHIA, no uso de suas atribuições e considerando:</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w:t>
      </w:r>
    </w:p>
    <w:p w:rsidR="00222945" w:rsidRPr="00241568" w:rsidRDefault="00222945" w:rsidP="00241568">
      <w:pPr>
        <w:pStyle w:val="NormalWeb"/>
        <w:numPr>
          <w:ilvl w:val="0"/>
          <w:numId w:val="1"/>
        </w:numPr>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O compromisso do Estado em assegurar o cumprimento dos 200 dias letivos;</w:t>
      </w:r>
    </w:p>
    <w:p w:rsidR="00222945" w:rsidRPr="00241568" w:rsidRDefault="00222945" w:rsidP="00241568">
      <w:pPr>
        <w:pStyle w:val="NormalWeb"/>
        <w:numPr>
          <w:ilvl w:val="0"/>
          <w:numId w:val="1"/>
        </w:numPr>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O compromisso desta gestão com a valorização do profissional de educação;</w:t>
      </w:r>
    </w:p>
    <w:p w:rsidR="00222945" w:rsidRPr="00241568" w:rsidRDefault="00222945" w:rsidP="00241568">
      <w:pPr>
        <w:pStyle w:val="NormalWeb"/>
        <w:numPr>
          <w:ilvl w:val="0"/>
          <w:numId w:val="1"/>
        </w:numPr>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 necessidade de normatizar os procedimentos administrativos para a concessão de benefícios aos integrantes da carreira do Magistério Público do Ensino Fundamental e Médio do Estado da Bahia;</w:t>
      </w:r>
    </w:p>
    <w:p w:rsidR="00222945" w:rsidRPr="00241568" w:rsidRDefault="00222945" w:rsidP="00241568">
      <w:pPr>
        <w:pStyle w:val="NormalWeb"/>
        <w:numPr>
          <w:ilvl w:val="0"/>
          <w:numId w:val="1"/>
        </w:numPr>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 conveniência de ampliação das oportunidades de fruição da licença-prêmio entre os integrantes do Magistério Público Estadual;</w:t>
      </w:r>
    </w:p>
    <w:p w:rsidR="00222945" w:rsidRPr="00241568" w:rsidRDefault="00222945" w:rsidP="00241568">
      <w:pPr>
        <w:pStyle w:val="NormalWeb"/>
        <w:numPr>
          <w:ilvl w:val="0"/>
          <w:numId w:val="1"/>
        </w:numPr>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O disposto na Lei 7.937, de 11 de outubro de 2001, e no Decreto 8.573, de 01 de julho de 2003,</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RESOLVE:</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1º - Autorizar a Superintendência de Recursos Humanos da Educação a proceder a análise dos requerimentos de Licença Prêmio para fruição ou conversão em pecúnia, formulados por ocupantes do cargo de professor da carreira do Magistério Público estadual do Ensino Fundamental e Médio, observados os requisitos e critérios definidos no Decreto nº 8.573, de 01 de julho de 2003.</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2º - Fixar em 2.100 e 200 o quantitativo máximo de licenças prêmios a serem concedidas no exercício de 2025 para conversão em pecúnia e para fruição, respectivamente, para o primeiro semestre do ano em curso.</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3º - Os requerimentos de Licença Prêmio para fruição ou conversão em pecúnia serão protocolados exclusivamente pelo Portal de Serviços RH BAHIA. Site: https://rhbahia.ba.gov.br/login</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4º - A concessão dos períodos de licença prêmio para fruição alcançará, preferencialmente, o professor que:</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xml:space="preserve">I – </w:t>
      </w:r>
      <w:proofErr w:type="gramStart"/>
      <w:r w:rsidRPr="00241568">
        <w:rPr>
          <w:rFonts w:ascii="Arial" w:hAnsi="Arial" w:cs="Arial"/>
          <w:color w:val="000000"/>
          <w:sz w:val="16"/>
          <w:szCs w:val="16"/>
        </w:rPr>
        <w:t>maior</w:t>
      </w:r>
      <w:proofErr w:type="gramEnd"/>
      <w:r w:rsidRPr="00241568">
        <w:rPr>
          <w:rFonts w:ascii="Arial" w:hAnsi="Arial" w:cs="Arial"/>
          <w:color w:val="000000"/>
          <w:sz w:val="16"/>
          <w:szCs w:val="16"/>
        </w:rPr>
        <w:t xml:space="preserve"> tempo de serviço no estado;</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xml:space="preserve">II – </w:t>
      </w:r>
      <w:proofErr w:type="gramStart"/>
      <w:r w:rsidRPr="00241568">
        <w:rPr>
          <w:rFonts w:ascii="Arial" w:hAnsi="Arial" w:cs="Arial"/>
          <w:color w:val="000000"/>
          <w:sz w:val="16"/>
          <w:szCs w:val="16"/>
        </w:rPr>
        <w:t>esteja</w:t>
      </w:r>
      <w:proofErr w:type="gramEnd"/>
      <w:r w:rsidRPr="00241568">
        <w:rPr>
          <w:rFonts w:ascii="Arial" w:hAnsi="Arial" w:cs="Arial"/>
          <w:color w:val="000000"/>
          <w:sz w:val="16"/>
          <w:szCs w:val="16"/>
        </w:rPr>
        <w:t xml:space="preserve"> sem afastamento de suas atividades há, pelo menos, 02(dois) anos;</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III – esteja em efetiva regência de classe;</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Parágrafo Único – O afastamento a que se refere o inciso II deste artigo não inclui aqueles decorrentes de férias e de licenças médica, gestante, adotante, paternidade e atestados médicos.</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5º - A conversão dos períodos de licença prêmio em abono pecuniário alcançará, preferencialmente, o professor que:</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xml:space="preserve">I – </w:t>
      </w:r>
      <w:proofErr w:type="gramStart"/>
      <w:r w:rsidRPr="00241568">
        <w:rPr>
          <w:rFonts w:ascii="Arial" w:hAnsi="Arial" w:cs="Arial"/>
          <w:color w:val="000000"/>
          <w:sz w:val="16"/>
          <w:szCs w:val="16"/>
        </w:rPr>
        <w:t>maior</w:t>
      </w:r>
      <w:proofErr w:type="gramEnd"/>
      <w:r w:rsidRPr="00241568">
        <w:rPr>
          <w:rFonts w:ascii="Arial" w:hAnsi="Arial" w:cs="Arial"/>
          <w:color w:val="000000"/>
          <w:sz w:val="16"/>
          <w:szCs w:val="16"/>
        </w:rPr>
        <w:t xml:space="preserve"> tempo de serviço no estado;</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xml:space="preserve">II – </w:t>
      </w:r>
      <w:proofErr w:type="gramStart"/>
      <w:r w:rsidRPr="00241568">
        <w:rPr>
          <w:rFonts w:ascii="Arial" w:hAnsi="Arial" w:cs="Arial"/>
          <w:color w:val="000000"/>
          <w:sz w:val="16"/>
          <w:szCs w:val="16"/>
        </w:rPr>
        <w:t>não</w:t>
      </w:r>
      <w:proofErr w:type="gramEnd"/>
      <w:r w:rsidRPr="00241568">
        <w:rPr>
          <w:rFonts w:ascii="Arial" w:hAnsi="Arial" w:cs="Arial"/>
          <w:color w:val="000000"/>
          <w:sz w:val="16"/>
          <w:szCs w:val="16"/>
        </w:rPr>
        <w:t xml:space="preserve"> tenha sido beneficiado com a conversão da licença em pecúnia há, pelo menos, 01 (um) ano;</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III – esteja em efetiva regência de classe;</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6° - Esgotados todos os critérios de desempate previstos no Art. 7º do Decreto 8.573 de 01 de julho de 2003, e, persistindo um quantitativo superior ao limite de concessão de Licença prêmio para fruição ou conversão em abono pecuniário determinado no Art. 2º desta Portaria, será adotado como critério de desempate para o deferimento, o cômputo da maior idade entre os concorrentes.</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7º - Para efeito do disposto nos artigos 1º e 2º desta Portaria, deverão ser observados os seguintes prazos:</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Para o primeiro semestre:</w:t>
      </w:r>
    </w:p>
    <w:p w:rsidR="00222945" w:rsidRPr="00241568" w:rsidRDefault="00222945" w:rsidP="00241568">
      <w:pPr>
        <w:pStyle w:val="NormalWeb"/>
        <w:spacing w:before="0" w:beforeAutospacing="0" w:after="0" w:afterAutospacing="0"/>
        <w:ind w:left="720" w:hanging="360"/>
        <w:jc w:val="both"/>
        <w:rPr>
          <w:rFonts w:ascii="Arial" w:hAnsi="Arial" w:cs="Arial"/>
          <w:color w:val="000000"/>
          <w:sz w:val="16"/>
          <w:szCs w:val="16"/>
        </w:rPr>
      </w:pPr>
      <w:r w:rsidRPr="00241568">
        <w:rPr>
          <w:rFonts w:ascii="Arial" w:hAnsi="Arial" w:cs="Arial"/>
          <w:color w:val="000000"/>
          <w:sz w:val="16"/>
          <w:szCs w:val="16"/>
        </w:rPr>
        <w:t>a) requerimento – serão considerados os protocolos de 17/03/2025 até 21/03/2025;</w:t>
      </w:r>
    </w:p>
    <w:p w:rsidR="00222945" w:rsidRPr="00241568" w:rsidRDefault="00222945" w:rsidP="00241568">
      <w:pPr>
        <w:pStyle w:val="NormalWeb"/>
        <w:spacing w:before="0" w:beforeAutospacing="0" w:after="0" w:afterAutospacing="0"/>
        <w:ind w:left="720" w:hanging="360"/>
        <w:jc w:val="both"/>
        <w:rPr>
          <w:rFonts w:ascii="Arial" w:hAnsi="Arial" w:cs="Arial"/>
          <w:color w:val="000000"/>
          <w:sz w:val="16"/>
          <w:szCs w:val="16"/>
        </w:rPr>
      </w:pPr>
      <w:r w:rsidRPr="00241568">
        <w:rPr>
          <w:rFonts w:ascii="Arial" w:hAnsi="Arial" w:cs="Arial"/>
          <w:color w:val="000000"/>
          <w:sz w:val="16"/>
          <w:szCs w:val="16"/>
        </w:rPr>
        <w:t>b) julgamento e publicação da lista classificatória – até 29/03/2025;</w:t>
      </w:r>
    </w:p>
    <w:p w:rsidR="00222945" w:rsidRPr="00241568" w:rsidRDefault="00222945" w:rsidP="00241568">
      <w:pPr>
        <w:pStyle w:val="NormalWeb"/>
        <w:spacing w:before="0" w:beforeAutospacing="0" w:after="0" w:afterAutospacing="0"/>
        <w:ind w:left="720" w:hanging="360"/>
        <w:jc w:val="both"/>
        <w:rPr>
          <w:rFonts w:ascii="Arial" w:hAnsi="Arial" w:cs="Arial"/>
          <w:color w:val="000000"/>
          <w:sz w:val="16"/>
          <w:szCs w:val="16"/>
        </w:rPr>
      </w:pPr>
      <w:r w:rsidRPr="00241568">
        <w:rPr>
          <w:rFonts w:ascii="Arial" w:hAnsi="Arial" w:cs="Arial"/>
          <w:color w:val="000000"/>
          <w:sz w:val="16"/>
          <w:szCs w:val="16"/>
        </w:rPr>
        <w:t>c) recurso – deverá ser protocolado de 01/04/2025 a 03/04/2025;</w:t>
      </w:r>
    </w:p>
    <w:p w:rsidR="00222945" w:rsidRPr="00241568" w:rsidRDefault="00222945" w:rsidP="00241568">
      <w:pPr>
        <w:pStyle w:val="NormalWeb"/>
        <w:spacing w:before="0" w:beforeAutospacing="0" w:after="0" w:afterAutospacing="0"/>
        <w:ind w:left="720" w:hanging="360"/>
        <w:jc w:val="both"/>
        <w:rPr>
          <w:rFonts w:ascii="Arial" w:hAnsi="Arial" w:cs="Arial"/>
          <w:color w:val="000000"/>
          <w:sz w:val="16"/>
          <w:szCs w:val="16"/>
        </w:rPr>
      </w:pPr>
      <w:r w:rsidRPr="00241568">
        <w:rPr>
          <w:rFonts w:ascii="Arial" w:hAnsi="Arial" w:cs="Arial"/>
          <w:color w:val="000000"/>
          <w:sz w:val="16"/>
          <w:szCs w:val="16"/>
        </w:rPr>
        <w:t>d) resultado do julgamento dos recursos e lista final de classificação - 12/04/2025;</w:t>
      </w:r>
    </w:p>
    <w:p w:rsidR="00222945" w:rsidRPr="00241568" w:rsidRDefault="00222945" w:rsidP="00241568">
      <w:pPr>
        <w:pStyle w:val="NormalWeb"/>
        <w:spacing w:before="0" w:beforeAutospacing="0" w:after="0" w:afterAutospacing="0"/>
        <w:ind w:left="720" w:hanging="360"/>
        <w:jc w:val="both"/>
        <w:rPr>
          <w:rFonts w:ascii="Arial" w:hAnsi="Arial" w:cs="Arial"/>
          <w:color w:val="000000"/>
          <w:sz w:val="16"/>
          <w:szCs w:val="16"/>
        </w:rPr>
      </w:pPr>
      <w:r w:rsidRPr="00241568">
        <w:rPr>
          <w:rFonts w:ascii="Arial" w:hAnsi="Arial" w:cs="Arial"/>
          <w:color w:val="000000"/>
          <w:sz w:val="16"/>
          <w:szCs w:val="16"/>
        </w:rPr>
        <w:t>e) concessão – a partir de 12/04/2025.</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8º – Os períodos averbados em qualquer esfera, não serão contabilizados para efeito de tempo de serviço no estado com o propósito de classificação nas listas classificatória e final.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9º - O professor somente poderá afastar-se do exercício funcional para o gozo de licença-prêmio na data estabelecida no ato concessor para início do afastamento.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10º - Fica a Superintendência de Recursos Humanos da Secretaria de Educação autorizada a abrir inscrição para professor substituto.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Art. 11º - Esta Portaria entra em vigor na data da sua publicação, revogadas as disposições em contrário.</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proofErr w:type="spellStart"/>
      <w:r w:rsidRPr="00241568">
        <w:rPr>
          <w:rFonts w:ascii="Arial" w:hAnsi="Arial" w:cs="Arial"/>
          <w:color w:val="000000"/>
          <w:sz w:val="16"/>
          <w:szCs w:val="16"/>
        </w:rPr>
        <w:t>Salvador-BA</w:t>
      </w:r>
      <w:proofErr w:type="spellEnd"/>
      <w:r w:rsidRPr="00241568">
        <w:rPr>
          <w:rFonts w:ascii="Arial" w:hAnsi="Arial" w:cs="Arial"/>
          <w:color w:val="000000"/>
          <w:sz w:val="16"/>
          <w:szCs w:val="16"/>
        </w:rPr>
        <w:t>, 12 de março de 2025. </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proofErr w:type="spellStart"/>
      <w:r w:rsidRPr="00241568">
        <w:rPr>
          <w:rStyle w:val="Forte"/>
          <w:rFonts w:ascii="Arial" w:hAnsi="Arial" w:cs="Arial"/>
          <w:color w:val="000000"/>
          <w:sz w:val="16"/>
          <w:szCs w:val="16"/>
        </w:rPr>
        <w:t>Rowenna</w:t>
      </w:r>
      <w:proofErr w:type="spellEnd"/>
      <w:r w:rsidRPr="00241568">
        <w:rPr>
          <w:rStyle w:val="Forte"/>
          <w:rFonts w:ascii="Arial" w:hAnsi="Arial" w:cs="Arial"/>
          <w:color w:val="000000"/>
          <w:sz w:val="16"/>
          <w:szCs w:val="16"/>
        </w:rPr>
        <w:t xml:space="preserve"> dos Santos Brito</w:t>
      </w:r>
    </w:p>
    <w:p w:rsidR="00222945" w:rsidRPr="00241568" w:rsidRDefault="00222945" w:rsidP="00241568">
      <w:pPr>
        <w:pStyle w:val="NormalWeb"/>
        <w:spacing w:before="0" w:beforeAutospacing="0" w:after="0" w:afterAutospacing="0"/>
        <w:jc w:val="both"/>
        <w:rPr>
          <w:rFonts w:ascii="Arial" w:hAnsi="Arial" w:cs="Arial"/>
          <w:color w:val="000000"/>
          <w:sz w:val="16"/>
          <w:szCs w:val="16"/>
        </w:rPr>
      </w:pPr>
      <w:r w:rsidRPr="00241568">
        <w:rPr>
          <w:rFonts w:ascii="Arial" w:hAnsi="Arial" w:cs="Arial"/>
          <w:color w:val="000000"/>
          <w:sz w:val="16"/>
          <w:szCs w:val="16"/>
        </w:rPr>
        <w:t>Secretária Estadual da Educação</w:t>
      </w:r>
    </w:p>
    <w:p w:rsidR="00A77079" w:rsidRPr="00241568" w:rsidRDefault="00241568" w:rsidP="00241568">
      <w:pPr>
        <w:spacing w:after="0" w:line="240" w:lineRule="auto"/>
        <w:jc w:val="both"/>
        <w:rPr>
          <w:rFonts w:ascii="Arial" w:hAnsi="Arial" w:cs="Arial"/>
          <w:sz w:val="16"/>
          <w:szCs w:val="16"/>
        </w:rPr>
      </w:pPr>
    </w:p>
    <w:sectPr w:rsidR="00A77079" w:rsidRPr="002415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363A"/>
    <w:multiLevelType w:val="hybridMultilevel"/>
    <w:tmpl w:val="F9B090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45"/>
    <w:rsid w:val="00222945"/>
    <w:rsid w:val="00241568"/>
    <w:rsid w:val="007B44D1"/>
    <w:rsid w:val="00EA40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D8B2"/>
  <w15:chartTrackingRefBased/>
  <w15:docId w15:val="{39DD18C1-38B9-4EF7-9392-DE24AB2F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229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22945"/>
    <w:rPr>
      <w:color w:val="0000FF"/>
      <w:u w:val="single"/>
    </w:rPr>
  </w:style>
  <w:style w:type="character" w:styleId="Forte">
    <w:name w:val="Strong"/>
    <w:basedOn w:val="Fontepargpadro"/>
    <w:uiPriority w:val="22"/>
    <w:qFormat/>
    <w:rsid w:val="00222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55972">
      <w:bodyDiv w:val="1"/>
      <w:marLeft w:val="0"/>
      <w:marRight w:val="0"/>
      <w:marTop w:val="0"/>
      <w:marBottom w:val="0"/>
      <w:divBdr>
        <w:top w:val="none" w:sz="0" w:space="0" w:color="auto"/>
        <w:left w:val="none" w:sz="0" w:space="0" w:color="auto"/>
        <w:bottom w:val="none" w:sz="0" w:space="0" w:color="auto"/>
        <w:right w:val="none" w:sz="0" w:space="0" w:color="auto"/>
      </w:divBdr>
      <w:divsChild>
        <w:div w:id="412900088">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594</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Leite Montalvao</dc:creator>
  <cp:keywords/>
  <dc:description/>
  <cp:lastModifiedBy>Daniela da Silva Mota</cp:lastModifiedBy>
  <cp:revision>2</cp:revision>
  <dcterms:created xsi:type="dcterms:W3CDTF">2025-03-12T23:11:00Z</dcterms:created>
  <dcterms:modified xsi:type="dcterms:W3CDTF">2025-03-13T00:14:00Z</dcterms:modified>
</cp:coreProperties>
</file>