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PORTARIA Nº 333/2025</w:t>
      </w:r>
      <w:r>
        <w:rPr>
          <w:rFonts w:ascii="Arial" w:hAnsi="Arial" w:cs="Arial"/>
          <w:color w:val="000000"/>
          <w:sz w:val="16"/>
          <w:szCs w:val="16"/>
        </w:rPr>
        <w:t xml:space="preserve">. </w:t>
      </w:r>
      <w:r w:rsidRPr="005928D2">
        <w:rPr>
          <w:rFonts w:ascii="Arial" w:hAnsi="Arial" w:cs="Arial"/>
          <w:color w:val="000000"/>
          <w:sz w:val="16"/>
          <w:szCs w:val="16"/>
        </w:rPr>
        <w:t>A </w:t>
      </w:r>
      <w:r w:rsidRPr="005928D2">
        <w:rPr>
          <w:rFonts w:ascii="Arial" w:hAnsi="Arial" w:cs="Arial"/>
          <w:b/>
          <w:bCs/>
          <w:color w:val="000000"/>
          <w:sz w:val="16"/>
          <w:szCs w:val="16"/>
        </w:rPr>
        <w:t>SECRETÁRIA DA EDUCAÇÃO DO ESTADO DA BAHIA</w:t>
      </w:r>
      <w:r w:rsidRPr="005928D2">
        <w:rPr>
          <w:rFonts w:ascii="Arial" w:hAnsi="Arial" w:cs="Arial"/>
          <w:color w:val="000000"/>
          <w:sz w:val="16"/>
          <w:szCs w:val="16"/>
        </w:rPr>
        <w:t>, no uso das atribuições que lhe confere o art. 7º do Decreto Estadual nº 22.090, de 09 de junho de 2023,</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Considerando a Lei Estadual nº 14.566, de 16 de maio de 2023, que dispõe sobre a autorização excepcional para conversão em pecúnia dos períodos de Licença Prêmio dos servidores das carreiras civis do Poder Executivo Estadual,</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Considerando o disposto no Decreto nº 22.090, de 09 de junho de 2023, que regulamenta a Lei nº 14.566, de 16 de maio de 2023,</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Style w:val="Forte"/>
          <w:rFonts w:ascii="Arial" w:hAnsi="Arial" w:cs="Arial"/>
          <w:color w:val="000000"/>
          <w:sz w:val="16"/>
          <w:szCs w:val="16"/>
        </w:rPr>
        <w:t>RESOLVE:</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1º </w:t>
      </w:r>
      <w:r w:rsidRPr="005928D2">
        <w:rPr>
          <w:rFonts w:ascii="Arial" w:hAnsi="Arial" w:cs="Arial"/>
          <w:color w:val="000000"/>
          <w:sz w:val="16"/>
          <w:szCs w:val="16"/>
        </w:rPr>
        <w:t>- As unidades vinculadas à SEC deverão observar os procedimentos previstos na legislação em vigor e nesta Portaria quanto aos critérios e prazos para o requerimento de concessão de conversão de licença prêmio em pecúnia.</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2º</w:t>
      </w:r>
      <w:r w:rsidRPr="005928D2">
        <w:rPr>
          <w:rFonts w:ascii="Arial" w:hAnsi="Arial" w:cs="Arial"/>
          <w:color w:val="000000"/>
          <w:sz w:val="16"/>
          <w:szCs w:val="16"/>
        </w:rPr>
        <w:t> - O processo de solicitação para conversão de licença prêmio em pecúnia deve ser inaugurado, impreterivelmente, no setor de recursos humanos ou equivalente de sua unidade de lotação, identificado com o tipo “Servidor: Conversão - Licença Prêmio em Pecúnia” e encaminhado à SEC/SUDEPE/DIREH/CAT.</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3º - </w:t>
      </w:r>
      <w:r w:rsidRPr="005928D2">
        <w:rPr>
          <w:rFonts w:ascii="Arial" w:hAnsi="Arial" w:cs="Arial"/>
          <w:color w:val="000000"/>
          <w:sz w:val="16"/>
          <w:szCs w:val="16"/>
        </w:rPr>
        <w:t>A conversão de licença prêmio em pecúnia pressupõe o indeferimento, a suspensão ou interrupção da fruição da licença prêmio.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4º -</w:t>
      </w:r>
      <w:r w:rsidRPr="005928D2">
        <w:rPr>
          <w:rFonts w:ascii="Arial" w:hAnsi="Arial" w:cs="Arial"/>
          <w:color w:val="000000"/>
          <w:sz w:val="16"/>
          <w:szCs w:val="16"/>
        </w:rPr>
        <w:t> O processo deverá, obrigatoriamente, ser instruindo com o seguinte documento: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I -</w:t>
      </w:r>
      <w:r w:rsidRPr="005928D2">
        <w:rPr>
          <w:rFonts w:ascii="Arial" w:hAnsi="Arial" w:cs="Arial"/>
          <w:color w:val="000000"/>
          <w:sz w:val="16"/>
          <w:szCs w:val="16"/>
        </w:rPr>
        <w:t> Requerimento de Direitos e Vantagens – RDV próprio, devidamente datado e assinado, contendo matrícula, endereço, e-mail e telefone e, indicando: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proofErr w:type="gramStart"/>
      <w:r w:rsidRPr="005928D2">
        <w:rPr>
          <w:rFonts w:ascii="Arial" w:hAnsi="Arial" w:cs="Arial"/>
          <w:color w:val="000000"/>
          <w:sz w:val="16"/>
          <w:szCs w:val="16"/>
        </w:rPr>
        <w:t>a</w:t>
      </w:r>
      <w:proofErr w:type="gramEnd"/>
      <w:r w:rsidRPr="005928D2">
        <w:rPr>
          <w:rFonts w:ascii="Arial" w:hAnsi="Arial" w:cs="Arial"/>
          <w:color w:val="000000"/>
          <w:sz w:val="16"/>
          <w:szCs w:val="16"/>
        </w:rPr>
        <w:t xml:space="preserve"> - o período aquisitivo de referência;</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proofErr w:type="gramStart"/>
      <w:r w:rsidRPr="005928D2">
        <w:rPr>
          <w:rFonts w:ascii="Arial" w:hAnsi="Arial" w:cs="Arial"/>
          <w:color w:val="000000"/>
          <w:sz w:val="16"/>
          <w:szCs w:val="16"/>
        </w:rPr>
        <w:t>b</w:t>
      </w:r>
      <w:proofErr w:type="gramEnd"/>
      <w:r w:rsidRPr="005928D2">
        <w:rPr>
          <w:rFonts w:ascii="Arial" w:hAnsi="Arial" w:cs="Arial"/>
          <w:color w:val="000000"/>
          <w:sz w:val="16"/>
          <w:szCs w:val="16"/>
        </w:rPr>
        <w:t xml:space="preserve"> - o total dos períodos passíveis de fruição;</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proofErr w:type="gramStart"/>
      <w:r w:rsidRPr="005928D2">
        <w:rPr>
          <w:rFonts w:ascii="Arial" w:hAnsi="Arial" w:cs="Arial"/>
          <w:color w:val="000000"/>
          <w:sz w:val="16"/>
          <w:szCs w:val="16"/>
        </w:rPr>
        <w:t>c</w:t>
      </w:r>
      <w:proofErr w:type="gramEnd"/>
      <w:r w:rsidRPr="005928D2">
        <w:rPr>
          <w:rFonts w:ascii="Arial" w:hAnsi="Arial" w:cs="Arial"/>
          <w:color w:val="000000"/>
          <w:sz w:val="16"/>
          <w:szCs w:val="16"/>
        </w:rPr>
        <w:t xml:space="preserve"> - o período que pretende que seja convertido em pecúnia, nunca inferior a 10 (dez) dias;</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proofErr w:type="gramStart"/>
      <w:r w:rsidRPr="005928D2">
        <w:rPr>
          <w:rFonts w:ascii="Arial" w:hAnsi="Arial" w:cs="Arial"/>
          <w:color w:val="000000"/>
          <w:sz w:val="16"/>
          <w:szCs w:val="16"/>
        </w:rPr>
        <w:t>d</w:t>
      </w:r>
      <w:proofErr w:type="gramEnd"/>
      <w:r w:rsidRPr="005928D2">
        <w:rPr>
          <w:rFonts w:ascii="Arial" w:hAnsi="Arial" w:cs="Arial"/>
          <w:color w:val="000000"/>
          <w:sz w:val="16"/>
          <w:szCs w:val="16"/>
        </w:rPr>
        <w:t xml:space="preserve"> - a decisão de indeferimento ou o ato de suspensão ou interrupção da fruição da licença prêmio.</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proofErr w:type="gramStart"/>
      <w:r w:rsidRPr="005928D2">
        <w:rPr>
          <w:rFonts w:ascii="Arial" w:hAnsi="Arial" w:cs="Arial"/>
          <w:color w:val="000000"/>
          <w:sz w:val="16"/>
          <w:szCs w:val="16"/>
        </w:rPr>
        <w:t>e</w:t>
      </w:r>
      <w:proofErr w:type="gramEnd"/>
      <w:r w:rsidRPr="005928D2">
        <w:rPr>
          <w:rFonts w:ascii="Arial" w:hAnsi="Arial" w:cs="Arial"/>
          <w:color w:val="000000"/>
          <w:sz w:val="16"/>
          <w:szCs w:val="16"/>
        </w:rPr>
        <w:t xml:space="preserve"> – manifestação do dirigente máximo da unidade de lotação, ou seu substituto legal, em caso de ausência, afastamento ou impedimento legal, com deliberação motivada se o afastamento para fruição da Licença Prêmio no prazo previsto no caput do art. 6º da Lei nº 13.471/2015 atende ou não ao interesse público.</w:t>
      </w:r>
    </w:p>
    <w:p w:rsidR="00E5258B" w:rsidRPr="005928D2" w:rsidRDefault="00E5258B" w:rsidP="00E5258B">
      <w:pPr>
        <w:pStyle w:val="NormalWeb"/>
        <w:spacing w:before="0" w:beforeAutospacing="0" w:after="0" w:afterAutospacing="0"/>
        <w:ind w:left="57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5º</w:t>
      </w:r>
      <w:r w:rsidRPr="005928D2">
        <w:rPr>
          <w:rFonts w:ascii="Arial" w:hAnsi="Arial" w:cs="Arial"/>
          <w:color w:val="000000"/>
          <w:sz w:val="16"/>
          <w:szCs w:val="16"/>
        </w:rPr>
        <w:t> - O servidor que, ao inaugurar requerimento de conversão de licença prêmio em pecúnia, possua em aberto processos de concessão de aposentadoria, de licença para tratar de interesse particular, de licença prêmio, de disposição para outro ente ou de alteração do exercício funcional para órgão ou entidade diversa daquele em que se encontra no momento do requerimento de conversão da licença prêmio em pecúnia, terá seu pedido indeferido.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6º</w:t>
      </w:r>
      <w:r w:rsidRPr="005928D2">
        <w:rPr>
          <w:rFonts w:ascii="Arial" w:hAnsi="Arial" w:cs="Arial"/>
          <w:color w:val="000000"/>
          <w:sz w:val="16"/>
          <w:szCs w:val="16"/>
        </w:rPr>
        <w:t> - O período indicado para conversão deverá ser, obrigatoriamente, o mesmo período cuja a fruição tenha sido anteriormente indeferida.</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7º</w:t>
      </w:r>
      <w:r w:rsidRPr="005928D2">
        <w:rPr>
          <w:rFonts w:ascii="Arial" w:hAnsi="Arial" w:cs="Arial"/>
          <w:color w:val="000000"/>
          <w:sz w:val="16"/>
          <w:szCs w:val="16"/>
        </w:rPr>
        <w:t> - Havendo quantitativo de requerimentos superior ao limite estabelecido no art. 5º da Lei nº 14.566/2023, para a conversão da licença prêmio em pecúnia deverão ser observados os critérios a seguir, nesta ordem, priorizando: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ind w:left="1260" w:right="180"/>
        <w:jc w:val="both"/>
        <w:rPr>
          <w:rFonts w:ascii="Arial" w:hAnsi="Arial" w:cs="Arial"/>
          <w:color w:val="000000"/>
          <w:sz w:val="16"/>
          <w:szCs w:val="16"/>
        </w:rPr>
      </w:pPr>
      <w:r w:rsidRPr="005928D2">
        <w:rPr>
          <w:rFonts w:ascii="Arial" w:hAnsi="Arial" w:cs="Arial"/>
          <w:b/>
          <w:bCs/>
          <w:color w:val="000000"/>
          <w:sz w:val="16"/>
          <w:szCs w:val="16"/>
        </w:rPr>
        <w:t>I </w:t>
      </w:r>
      <w:r w:rsidRPr="005928D2">
        <w:rPr>
          <w:rFonts w:ascii="Arial" w:hAnsi="Arial" w:cs="Arial"/>
          <w:color w:val="000000"/>
          <w:sz w:val="16"/>
          <w:szCs w:val="16"/>
        </w:rPr>
        <w:t xml:space="preserve">– </w:t>
      </w:r>
      <w:proofErr w:type="gramStart"/>
      <w:r w:rsidRPr="005928D2">
        <w:rPr>
          <w:rFonts w:ascii="Arial" w:hAnsi="Arial" w:cs="Arial"/>
          <w:color w:val="000000"/>
          <w:sz w:val="16"/>
          <w:szCs w:val="16"/>
        </w:rPr>
        <w:t>servidores</w:t>
      </w:r>
      <w:proofErr w:type="gramEnd"/>
      <w:r w:rsidRPr="005928D2">
        <w:rPr>
          <w:rFonts w:ascii="Arial" w:hAnsi="Arial" w:cs="Arial"/>
          <w:color w:val="000000"/>
          <w:sz w:val="16"/>
          <w:szCs w:val="16"/>
        </w:rPr>
        <w:t xml:space="preserve"> cujos prazos estabelecidos no caput e §8° do art. 6° da Lei 13471/2015, estejam próximos a expirar;</w:t>
      </w:r>
    </w:p>
    <w:p w:rsidR="00E5258B" w:rsidRPr="005928D2" w:rsidRDefault="00E5258B" w:rsidP="00E5258B">
      <w:pPr>
        <w:pStyle w:val="NormalWeb"/>
        <w:spacing w:before="0" w:beforeAutospacing="0" w:after="0" w:afterAutospacing="0"/>
        <w:ind w:left="1140" w:right="180" w:firstLine="124"/>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ind w:left="1275" w:right="180" w:hanging="18"/>
        <w:jc w:val="both"/>
        <w:rPr>
          <w:rFonts w:ascii="Arial" w:hAnsi="Arial" w:cs="Arial"/>
          <w:color w:val="000000"/>
          <w:sz w:val="16"/>
          <w:szCs w:val="16"/>
        </w:rPr>
      </w:pPr>
      <w:r w:rsidRPr="005928D2">
        <w:rPr>
          <w:rFonts w:ascii="Arial" w:hAnsi="Arial" w:cs="Arial"/>
          <w:b/>
          <w:bCs/>
          <w:color w:val="000000"/>
          <w:sz w:val="16"/>
          <w:szCs w:val="16"/>
        </w:rPr>
        <w:t>II </w:t>
      </w:r>
      <w:r w:rsidRPr="005928D2">
        <w:rPr>
          <w:rFonts w:ascii="Arial" w:hAnsi="Arial" w:cs="Arial"/>
          <w:color w:val="000000"/>
          <w:sz w:val="16"/>
          <w:szCs w:val="16"/>
        </w:rPr>
        <w:t xml:space="preserve">– </w:t>
      </w:r>
      <w:proofErr w:type="gramStart"/>
      <w:r w:rsidRPr="005928D2">
        <w:rPr>
          <w:rFonts w:ascii="Arial" w:hAnsi="Arial" w:cs="Arial"/>
          <w:color w:val="000000"/>
          <w:sz w:val="16"/>
          <w:szCs w:val="16"/>
        </w:rPr>
        <w:t>servidores</w:t>
      </w:r>
      <w:proofErr w:type="gramEnd"/>
      <w:r w:rsidRPr="005928D2">
        <w:rPr>
          <w:rFonts w:ascii="Arial" w:hAnsi="Arial" w:cs="Arial"/>
          <w:color w:val="000000"/>
          <w:sz w:val="16"/>
          <w:szCs w:val="16"/>
        </w:rPr>
        <w:t>, excluídos os ocupantes dos cargos permanentes de Professor do Ensino Fundamental e Médio do Magistério Público do Estado, investidos em cargo comissionado que lideram equipes ou assessoram formalmente quem lidera;</w:t>
      </w:r>
    </w:p>
    <w:p w:rsidR="00E5258B" w:rsidRPr="005928D2" w:rsidRDefault="00E5258B" w:rsidP="00E5258B">
      <w:pPr>
        <w:pStyle w:val="NormalWeb"/>
        <w:spacing w:before="0" w:beforeAutospacing="0" w:after="0" w:afterAutospacing="0"/>
        <w:ind w:left="1260" w:right="18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ind w:left="1260" w:right="180"/>
        <w:jc w:val="both"/>
        <w:rPr>
          <w:rFonts w:ascii="Arial" w:hAnsi="Arial" w:cs="Arial"/>
          <w:color w:val="000000"/>
          <w:sz w:val="16"/>
          <w:szCs w:val="16"/>
        </w:rPr>
      </w:pPr>
      <w:r w:rsidRPr="005928D2">
        <w:rPr>
          <w:rFonts w:ascii="Arial" w:hAnsi="Arial" w:cs="Arial"/>
          <w:b/>
          <w:bCs/>
          <w:color w:val="000000"/>
          <w:sz w:val="16"/>
          <w:szCs w:val="16"/>
        </w:rPr>
        <w:t>III </w:t>
      </w:r>
      <w:r w:rsidRPr="005928D2">
        <w:rPr>
          <w:rFonts w:ascii="Arial" w:hAnsi="Arial" w:cs="Arial"/>
          <w:color w:val="000000"/>
          <w:spacing w:val="-14"/>
          <w:sz w:val="16"/>
          <w:szCs w:val="16"/>
        </w:rPr>
        <w:t>- </w:t>
      </w:r>
      <w:r w:rsidRPr="005928D2">
        <w:rPr>
          <w:rFonts w:ascii="Arial" w:hAnsi="Arial" w:cs="Arial"/>
          <w:color w:val="000000"/>
          <w:sz w:val="16"/>
          <w:szCs w:val="16"/>
        </w:rPr>
        <w:t>servidores com maior idade;</w:t>
      </w:r>
    </w:p>
    <w:p w:rsidR="00E5258B" w:rsidRPr="005928D2" w:rsidRDefault="00E5258B" w:rsidP="00E5258B">
      <w:pPr>
        <w:pStyle w:val="NormalWeb"/>
        <w:spacing w:before="0" w:beforeAutospacing="0" w:after="0" w:afterAutospacing="0"/>
        <w:ind w:left="1260" w:right="180"/>
        <w:jc w:val="both"/>
        <w:rPr>
          <w:rFonts w:ascii="Arial" w:hAnsi="Arial" w:cs="Arial"/>
          <w:color w:val="000000"/>
          <w:sz w:val="16"/>
          <w:szCs w:val="16"/>
        </w:rPr>
      </w:pPr>
      <w:r w:rsidRPr="005928D2">
        <w:rPr>
          <w:rFonts w:ascii="Arial" w:hAnsi="Arial" w:cs="Arial"/>
          <w:color w:val="000000"/>
          <w:sz w:val="16"/>
          <w:szCs w:val="16"/>
        </w:rPr>
        <w:t> </w:t>
      </w:r>
    </w:p>
    <w:p w:rsidR="00E5258B" w:rsidRPr="005928D2" w:rsidRDefault="00E5258B" w:rsidP="00E5258B">
      <w:pPr>
        <w:pStyle w:val="NormalWeb"/>
        <w:spacing w:before="0" w:beforeAutospacing="0" w:after="0" w:afterAutospacing="0"/>
        <w:ind w:right="180"/>
        <w:jc w:val="both"/>
        <w:rPr>
          <w:rFonts w:ascii="Arial" w:hAnsi="Arial" w:cs="Arial"/>
          <w:color w:val="000000"/>
          <w:sz w:val="16"/>
          <w:szCs w:val="16"/>
        </w:rPr>
      </w:pPr>
      <w:r w:rsidRPr="005928D2">
        <w:rPr>
          <w:rFonts w:ascii="Arial" w:hAnsi="Arial" w:cs="Arial"/>
          <w:b/>
          <w:bCs/>
          <w:color w:val="000000"/>
          <w:sz w:val="16"/>
          <w:szCs w:val="16"/>
        </w:rPr>
        <w:t>§ 1º</w:t>
      </w:r>
      <w:r w:rsidRPr="005928D2">
        <w:rPr>
          <w:rFonts w:ascii="Arial" w:hAnsi="Arial" w:cs="Arial"/>
          <w:color w:val="000000"/>
          <w:sz w:val="16"/>
          <w:szCs w:val="16"/>
        </w:rPr>
        <w:t> - Será priorizado, de acordo com os critérios de seleção, o servidor que ainda não tenha sido contemplado nas etapas anteriores.</w:t>
      </w:r>
    </w:p>
    <w:p w:rsidR="00E5258B" w:rsidRPr="005928D2" w:rsidRDefault="00E5258B" w:rsidP="00E5258B">
      <w:pPr>
        <w:pStyle w:val="NormalWeb"/>
        <w:spacing w:before="0" w:beforeAutospacing="0" w:after="0" w:afterAutospacing="0"/>
        <w:ind w:right="180"/>
        <w:jc w:val="both"/>
        <w:rPr>
          <w:rFonts w:ascii="Arial" w:hAnsi="Arial" w:cs="Arial"/>
          <w:color w:val="000000"/>
          <w:sz w:val="16"/>
          <w:szCs w:val="16"/>
        </w:rPr>
      </w:pPr>
      <w:r w:rsidRPr="005928D2">
        <w:rPr>
          <w:rFonts w:ascii="Arial" w:hAnsi="Arial" w:cs="Arial"/>
          <w:b/>
          <w:bCs/>
          <w:color w:val="000000"/>
          <w:sz w:val="16"/>
          <w:szCs w:val="16"/>
        </w:rPr>
        <w:t>Art. 8º</w:t>
      </w:r>
      <w:r w:rsidRPr="005928D2">
        <w:rPr>
          <w:rFonts w:ascii="Arial" w:hAnsi="Arial" w:cs="Arial"/>
          <w:color w:val="000000"/>
          <w:sz w:val="16"/>
          <w:szCs w:val="16"/>
        </w:rPr>
        <w:t> - O pagamento do período de licença prêmio convertida em pecúnia ocorrerá após 06 (seis) meses de efetiva permanência em serviço, contados do deferimento do pedido.</w:t>
      </w:r>
    </w:p>
    <w:p w:rsidR="00E5258B" w:rsidRPr="005928D2" w:rsidRDefault="00E5258B" w:rsidP="00E5258B">
      <w:pPr>
        <w:pStyle w:val="NormalWeb"/>
        <w:spacing w:before="0" w:beforeAutospacing="0" w:after="0" w:afterAutospacing="0"/>
        <w:ind w:right="180"/>
        <w:jc w:val="both"/>
        <w:rPr>
          <w:rFonts w:ascii="Arial" w:hAnsi="Arial" w:cs="Arial"/>
          <w:color w:val="000000"/>
          <w:sz w:val="16"/>
          <w:szCs w:val="16"/>
        </w:rPr>
      </w:pPr>
      <w:r w:rsidRPr="005928D2">
        <w:rPr>
          <w:rFonts w:ascii="Arial" w:hAnsi="Arial" w:cs="Arial"/>
          <w:b/>
          <w:bCs/>
          <w:color w:val="000000"/>
          <w:sz w:val="16"/>
          <w:szCs w:val="16"/>
        </w:rPr>
        <w:t>Art. 9º</w:t>
      </w:r>
      <w:r w:rsidRPr="005928D2">
        <w:rPr>
          <w:rFonts w:ascii="Arial" w:hAnsi="Arial" w:cs="Arial"/>
          <w:color w:val="000000"/>
          <w:sz w:val="16"/>
          <w:szCs w:val="16"/>
        </w:rPr>
        <w:t> - O processo instaurado sem atender aos critérios contidos na Lei nº 14.566/2023, no Decreto Estadual nº 22.090/2023, notadamente quanto aos requisitos contidos no Art. 4º desta Portaria, será indeferido.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10</w:t>
      </w:r>
      <w:r w:rsidRPr="005928D2">
        <w:rPr>
          <w:rFonts w:ascii="Arial" w:hAnsi="Arial" w:cs="Arial"/>
          <w:color w:val="000000"/>
          <w:sz w:val="16"/>
          <w:szCs w:val="16"/>
        </w:rPr>
        <w:t> - O deferimento da conversão em pecúnia de licença prêmio, autorizado até 31 de dezembro de 2026, respeitará o limite dos servidores efetivos, fixado pela Resolução COPE nº 312/2023, observando o interesse do serviço e a disponibilidade financeira orçamentária.</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11</w:t>
      </w:r>
      <w:r w:rsidRPr="005928D2">
        <w:rPr>
          <w:rFonts w:ascii="Arial" w:hAnsi="Arial" w:cs="Arial"/>
          <w:color w:val="000000"/>
          <w:sz w:val="16"/>
          <w:szCs w:val="16"/>
        </w:rPr>
        <w:t> - A Superintendência de Recursos Humanos – SUDEPE deverá zelar pela observância, no âmbito da Secretaria da Educação – SEC, do limite mensal de concessões de conversões de licença prêmio em pecúnia fixado pelo Conselho de Política de Recursos Humanos – COPE, em conformidade com o §5º do art. 1º do Decreto nº 22090, de 09 de junho de 2023.</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r w:rsidRPr="005928D2">
        <w:rPr>
          <w:rFonts w:ascii="Arial" w:hAnsi="Arial" w:cs="Arial"/>
          <w:b/>
          <w:bCs/>
          <w:color w:val="000000"/>
          <w:sz w:val="16"/>
          <w:szCs w:val="16"/>
        </w:rPr>
        <w:t>Art. 12</w:t>
      </w:r>
      <w:r w:rsidRPr="005928D2">
        <w:rPr>
          <w:rFonts w:ascii="Arial" w:hAnsi="Arial" w:cs="Arial"/>
          <w:color w:val="000000"/>
          <w:sz w:val="16"/>
          <w:szCs w:val="16"/>
        </w:rPr>
        <w:t> - Esta Instrução entra em vigor na data da sua publicação.</w:t>
      </w:r>
    </w:p>
    <w:p w:rsidR="00E5258B" w:rsidRPr="005928D2" w:rsidRDefault="00E5258B" w:rsidP="00E5258B">
      <w:pPr>
        <w:pStyle w:val="NormalWeb"/>
        <w:spacing w:before="0" w:beforeAutospacing="0" w:after="0" w:afterAutospacing="0"/>
        <w:jc w:val="both"/>
        <w:rPr>
          <w:rFonts w:ascii="Arial" w:hAnsi="Arial" w:cs="Arial"/>
          <w:color w:val="000000"/>
          <w:sz w:val="16"/>
          <w:szCs w:val="16"/>
        </w:rPr>
      </w:pPr>
    </w:p>
    <w:p w:rsidR="00E5258B" w:rsidRPr="005928D2" w:rsidRDefault="00E5258B" w:rsidP="00E5258B">
      <w:pPr>
        <w:pStyle w:val="NormalWeb"/>
        <w:spacing w:before="0" w:beforeAutospacing="0" w:after="0" w:afterAutospacing="0"/>
        <w:rPr>
          <w:rFonts w:ascii="Arial" w:hAnsi="Arial" w:cs="Arial"/>
          <w:color w:val="000000"/>
          <w:sz w:val="16"/>
          <w:szCs w:val="16"/>
        </w:rPr>
      </w:pPr>
      <w:proofErr w:type="spellStart"/>
      <w:r w:rsidRPr="005928D2">
        <w:rPr>
          <w:rFonts w:ascii="Arial" w:hAnsi="Arial" w:cs="Arial"/>
          <w:color w:val="000000"/>
          <w:sz w:val="16"/>
          <w:szCs w:val="16"/>
        </w:rPr>
        <w:t>Salvador-BA</w:t>
      </w:r>
      <w:proofErr w:type="spellEnd"/>
      <w:r w:rsidRPr="005928D2">
        <w:rPr>
          <w:rFonts w:ascii="Arial" w:hAnsi="Arial" w:cs="Arial"/>
          <w:color w:val="000000"/>
          <w:sz w:val="16"/>
          <w:szCs w:val="16"/>
        </w:rPr>
        <w:t>, 13 de março de 2025.</w:t>
      </w:r>
    </w:p>
    <w:p w:rsidR="00E5258B" w:rsidRPr="005928D2" w:rsidRDefault="00E5258B" w:rsidP="00E5258B">
      <w:pPr>
        <w:pStyle w:val="NormalWeb"/>
        <w:spacing w:before="0" w:beforeAutospacing="0" w:after="0" w:afterAutospacing="0"/>
        <w:rPr>
          <w:rFonts w:ascii="Arial" w:hAnsi="Arial" w:cs="Arial"/>
          <w:color w:val="000000"/>
          <w:sz w:val="16"/>
          <w:szCs w:val="16"/>
        </w:rPr>
      </w:pPr>
      <w:r w:rsidRPr="005928D2">
        <w:rPr>
          <w:rFonts w:ascii="Arial" w:hAnsi="Arial" w:cs="Arial"/>
          <w:b/>
          <w:bCs/>
          <w:color w:val="000000"/>
          <w:sz w:val="16"/>
          <w:szCs w:val="16"/>
        </w:rPr>
        <w:t>ROWENNA DOS SANTOS BRITO</w:t>
      </w:r>
    </w:p>
    <w:p w:rsidR="00E5258B" w:rsidRPr="005928D2" w:rsidRDefault="00E5258B" w:rsidP="00E5258B">
      <w:pPr>
        <w:pStyle w:val="NormalWeb"/>
        <w:spacing w:before="0" w:beforeAutospacing="0" w:after="0" w:afterAutospacing="0"/>
        <w:rPr>
          <w:rFonts w:ascii="Arial" w:hAnsi="Arial" w:cs="Arial"/>
          <w:color w:val="000000"/>
          <w:sz w:val="16"/>
          <w:szCs w:val="16"/>
        </w:rPr>
      </w:pPr>
      <w:r w:rsidRPr="005928D2">
        <w:rPr>
          <w:rFonts w:ascii="Arial" w:hAnsi="Arial" w:cs="Arial"/>
          <w:color w:val="000000"/>
          <w:sz w:val="16"/>
          <w:szCs w:val="16"/>
        </w:rPr>
        <w:t>Secretária Estadual da Educação</w:t>
      </w:r>
    </w:p>
    <w:p w:rsidR="00E5258B" w:rsidRPr="005928D2" w:rsidRDefault="00E5258B" w:rsidP="00E5258B">
      <w:pPr>
        <w:spacing w:after="0" w:line="240" w:lineRule="auto"/>
        <w:rPr>
          <w:rFonts w:ascii="Arial" w:hAnsi="Arial" w:cs="Arial"/>
          <w:sz w:val="16"/>
          <w:szCs w:val="16"/>
        </w:rPr>
      </w:pPr>
    </w:p>
    <w:p w:rsidR="00E5258B" w:rsidRDefault="00E5258B" w:rsidP="00847A09">
      <w:pPr>
        <w:spacing w:after="0" w:line="240" w:lineRule="auto"/>
        <w:jc w:val="both"/>
        <w:rPr>
          <w:rFonts w:ascii="Arial" w:hAnsi="Arial" w:cs="Arial"/>
          <w:b/>
          <w:sz w:val="16"/>
          <w:szCs w:val="16"/>
        </w:rPr>
      </w:pPr>
      <w:bookmarkStart w:id="0" w:name="_GoBack"/>
      <w:bookmarkEnd w:id="0"/>
    </w:p>
    <w:p w:rsidR="00A463E0" w:rsidRPr="00847A09" w:rsidRDefault="0016742F" w:rsidP="00847A09">
      <w:pPr>
        <w:spacing w:after="0" w:line="240" w:lineRule="auto"/>
        <w:jc w:val="both"/>
        <w:rPr>
          <w:rFonts w:ascii="Arial" w:hAnsi="Arial" w:cs="Arial"/>
          <w:sz w:val="16"/>
          <w:szCs w:val="16"/>
        </w:rPr>
      </w:pPr>
      <w:r w:rsidRPr="00847A09">
        <w:rPr>
          <w:rFonts w:ascii="Arial" w:hAnsi="Arial" w:cs="Arial"/>
          <w:b/>
          <w:sz w:val="16"/>
          <w:szCs w:val="16"/>
        </w:rPr>
        <w:t>PORTARIA Nº 318/2025</w:t>
      </w:r>
      <w:r w:rsidR="00C519C1" w:rsidRPr="00847A09">
        <w:rPr>
          <w:rFonts w:ascii="Arial" w:hAnsi="Arial" w:cs="Arial"/>
          <w:b/>
          <w:sz w:val="16"/>
          <w:szCs w:val="16"/>
        </w:rPr>
        <w:t>.</w:t>
      </w:r>
      <w:r w:rsidR="00C519C1" w:rsidRPr="00847A09">
        <w:rPr>
          <w:rFonts w:ascii="Arial" w:hAnsi="Arial" w:cs="Arial"/>
          <w:sz w:val="16"/>
          <w:szCs w:val="16"/>
        </w:rPr>
        <w:t xml:space="preserve"> </w:t>
      </w:r>
      <w:r w:rsidRPr="00847A09">
        <w:rPr>
          <w:rFonts w:ascii="Arial" w:hAnsi="Arial" w:cs="Arial"/>
          <w:sz w:val="16"/>
          <w:szCs w:val="16"/>
        </w:rPr>
        <w:t>A SECRETÁRIA DA EDUCAÇÃO DO ESTADO DA BAHIA, no uso das suas atribuições, RESOLVE:</w:t>
      </w:r>
      <w:r w:rsidR="00C519C1" w:rsidRPr="00847A09">
        <w:rPr>
          <w:rFonts w:ascii="Arial" w:hAnsi="Arial" w:cs="Arial"/>
          <w:sz w:val="16"/>
          <w:szCs w:val="16"/>
        </w:rPr>
        <w:t xml:space="preserve"> </w:t>
      </w:r>
      <w:r w:rsidRPr="00847A09">
        <w:rPr>
          <w:rFonts w:ascii="Arial" w:hAnsi="Arial" w:cs="Arial"/>
          <w:sz w:val="16"/>
          <w:szCs w:val="16"/>
        </w:rPr>
        <w:t>Determinar a mudança de denominação da instituição pública de ensino, </w:t>
      </w:r>
      <w:r w:rsidRPr="00847A09">
        <w:rPr>
          <w:rFonts w:ascii="Arial" w:hAnsi="Arial" w:cs="Arial"/>
          <w:b/>
          <w:bCs/>
          <w:sz w:val="16"/>
          <w:szCs w:val="16"/>
        </w:rPr>
        <w:t>Colégio Estadual do Rio do Antônio</w:t>
      </w:r>
      <w:r w:rsidRPr="00847A09">
        <w:rPr>
          <w:rFonts w:ascii="Arial" w:hAnsi="Arial" w:cs="Arial"/>
          <w:sz w:val="16"/>
          <w:szCs w:val="16"/>
        </w:rPr>
        <w:t>, código MEC nº 29263972, código SEC nº 1176197, localizado na Rua Nossa Senhora das Graças, s/n, Bairro Centro, município de Rio do Antônio, criado por meio da Portaria nº 6139, D.O.E. de 19/08/1999, que ministra o Ensino Médio, passando a denominar-se </w:t>
      </w:r>
      <w:r w:rsidRPr="00847A09">
        <w:rPr>
          <w:rFonts w:ascii="Arial" w:hAnsi="Arial" w:cs="Arial"/>
          <w:b/>
          <w:bCs/>
          <w:sz w:val="16"/>
          <w:szCs w:val="16"/>
        </w:rPr>
        <w:t>Colégio Estadual de Tempo Integral de Rio do Antônio</w:t>
      </w:r>
      <w:r w:rsidRPr="00847A09">
        <w:rPr>
          <w:rFonts w:ascii="Arial" w:hAnsi="Arial" w:cs="Arial"/>
          <w:sz w:val="16"/>
          <w:szCs w:val="16"/>
        </w:rPr>
        <w:t>, a partir de 2025, tendo como entidade mantenedora o Governo do Estado da Bahia, conforme o processo SEI nº 011.7627.2025.0013333-27. </w:t>
      </w:r>
      <w:r w:rsidR="00C519C1" w:rsidRPr="00847A09">
        <w:rPr>
          <w:rFonts w:ascii="Arial" w:hAnsi="Arial" w:cs="Arial"/>
          <w:sz w:val="16"/>
          <w:szCs w:val="16"/>
        </w:rPr>
        <w:t xml:space="preserve"> </w:t>
      </w:r>
      <w:r w:rsidR="00A463E0" w:rsidRPr="00847A09">
        <w:rPr>
          <w:rFonts w:ascii="Arial" w:hAnsi="Arial" w:cs="Arial"/>
          <w:sz w:val="16"/>
          <w:szCs w:val="16"/>
        </w:rPr>
        <w:t>Salvador, 12 de março de 2025.</w:t>
      </w:r>
      <w:r w:rsidR="00C519C1" w:rsidRPr="00847A09">
        <w:rPr>
          <w:rFonts w:ascii="Arial" w:hAnsi="Arial" w:cs="Arial"/>
          <w:sz w:val="16"/>
          <w:szCs w:val="16"/>
        </w:rPr>
        <w:t xml:space="preserve"> </w:t>
      </w:r>
      <w:proofErr w:type="spellStart"/>
      <w:r w:rsidR="00A463E0" w:rsidRPr="00847A09">
        <w:rPr>
          <w:rFonts w:ascii="Arial" w:hAnsi="Arial" w:cs="Arial"/>
          <w:b/>
          <w:bCs/>
          <w:sz w:val="16"/>
          <w:szCs w:val="16"/>
        </w:rPr>
        <w:t>Rowenna</w:t>
      </w:r>
      <w:proofErr w:type="spellEnd"/>
      <w:r w:rsidR="00A463E0" w:rsidRPr="00847A09">
        <w:rPr>
          <w:rFonts w:ascii="Arial" w:hAnsi="Arial" w:cs="Arial"/>
          <w:b/>
          <w:bCs/>
          <w:sz w:val="16"/>
          <w:szCs w:val="16"/>
        </w:rPr>
        <w:t xml:space="preserve"> dos Santos Brito</w:t>
      </w:r>
      <w:r w:rsidR="00C519C1" w:rsidRPr="00847A09">
        <w:rPr>
          <w:rFonts w:ascii="Arial" w:hAnsi="Arial" w:cs="Arial"/>
          <w:sz w:val="16"/>
          <w:szCs w:val="16"/>
        </w:rPr>
        <w:t xml:space="preserve"> - </w:t>
      </w:r>
      <w:r w:rsidR="00A463E0" w:rsidRPr="00847A09">
        <w:rPr>
          <w:rFonts w:ascii="Arial" w:hAnsi="Arial" w:cs="Arial"/>
          <w:sz w:val="16"/>
          <w:szCs w:val="16"/>
        </w:rPr>
        <w:t>Secretária Estadual da Educação</w:t>
      </w:r>
    </w:p>
    <w:p w:rsidR="00E224B5" w:rsidRPr="00847A09" w:rsidRDefault="00E224B5" w:rsidP="00847A09">
      <w:pPr>
        <w:spacing w:after="0" w:line="240" w:lineRule="auto"/>
        <w:rPr>
          <w:rFonts w:ascii="Arial" w:hAnsi="Arial" w:cs="Arial"/>
          <w:sz w:val="16"/>
          <w:szCs w:val="16"/>
        </w:rPr>
      </w:pPr>
    </w:p>
    <w:p w:rsidR="00847A09" w:rsidRPr="00847A09" w:rsidRDefault="00847A09" w:rsidP="00847A09">
      <w:pPr>
        <w:spacing w:after="0" w:line="240" w:lineRule="auto"/>
        <w:jc w:val="both"/>
        <w:rPr>
          <w:rFonts w:ascii="Arial" w:hAnsi="Arial" w:cs="Arial"/>
          <w:sz w:val="16"/>
          <w:szCs w:val="16"/>
        </w:rPr>
      </w:pPr>
      <w:r w:rsidRPr="00847A09">
        <w:rPr>
          <w:rFonts w:ascii="Arial" w:hAnsi="Arial" w:cs="Arial"/>
          <w:sz w:val="16"/>
          <w:szCs w:val="16"/>
        </w:rPr>
        <w:t>PORTARIA Nº 320/2025</w:t>
      </w:r>
      <w:r>
        <w:rPr>
          <w:rFonts w:ascii="Arial" w:hAnsi="Arial" w:cs="Arial"/>
          <w:sz w:val="16"/>
          <w:szCs w:val="16"/>
        </w:rPr>
        <w:t xml:space="preserve">. </w:t>
      </w:r>
      <w:r w:rsidRPr="00847A09">
        <w:rPr>
          <w:rFonts w:ascii="Arial" w:hAnsi="Arial" w:cs="Arial"/>
          <w:sz w:val="16"/>
          <w:szCs w:val="16"/>
        </w:rPr>
        <w:t>A SECRETÁRIA DA EDUCAÇÃO DO ESTADO DA BAHIA, no uso das suas atribuições, RESOLVE:</w:t>
      </w:r>
      <w:r>
        <w:rPr>
          <w:rFonts w:ascii="Arial" w:hAnsi="Arial" w:cs="Arial"/>
          <w:sz w:val="16"/>
          <w:szCs w:val="16"/>
        </w:rPr>
        <w:t xml:space="preserve"> </w:t>
      </w:r>
      <w:r w:rsidRPr="00847A09">
        <w:rPr>
          <w:rFonts w:ascii="Arial" w:hAnsi="Arial" w:cs="Arial"/>
          <w:sz w:val="16"/>
          <w:szCs w:val="16"/>
        </w:rPr>
        <w:t>determinar a mudança de denominação da instituição pública de ensino, COLÉGIO ESTADUAL ADELAIDE SOUZA, código MEC nº 29288339, código SEC nº 1110499, localizado na Rua João Oliveira de Souza, nº 56, bairro Centro, município de Nilo Peçanha, criado por meio da Portaria nº 6695, D.O.E. de 29/06/1985, que ministra o Ensino Médio, a Modalidade da Educação de Jovens e Adultos Tempo Formativo – Nível Médio e Educação Profissional e Tecnológica, passando a denominar-se COLÉGIO ESTADUAL DE TEMPO INTEGRAL ADELAIDE SOUZA, a partir de 2025, tendo como entidade mantenedora o Governo do Estado da Bahia, conforme o processo SEI nº 011.7624.2025.0013953-12.</w:t>
      </w:r>
      <w:r>
        <w:rPr>
          <w:rFonts w:ascii="Arial" w:hAnsi="Arial" w:cs="Arial"/>
          <w:sz w:val="16"/>
          <w:szCs w:val="16"/>
        </w:rPr>
        <w:t xml:space="preserve"> </w:t>
      </w:r>
      <w:r w:rsidRPr="00847A09">
        <w:rPr>
          <w:rFonts w:ascii="Arial" w:hAnsi="Arial" w:cs="Arial"/>
          <w:sz w:val="16"/>
          <w:szCs w:val="16"/>
        </w:rPr>
        <w:t xml:space="preserve">Salvador, 12 de março de 2025. </w:t>
      </w:r>
      <w:proofErr w:type="spellStart"/>
      <w:r w:rsidRPr="00847A09">
        <w:rPr>
          <w:rFonts w:ascii="Arial" w:hAnsi="Arial" w:cs="Arial"/>
          <w:b/>
          <w:bCs/>
          <w:sz w:val="16"/>
          <w:szCs w:val="16"/>
        </w:rPr>
        <w:t>Rowenna</w:t>
      </w:r>
      <w:proofErr w:type="spellEnd"/>
      <w:r w:rsidRPr="00847A09">
        <w:rPr>
          <w:rFonts w:ascii="Arial" w:hAnsi="Arial" w:cs="Arial"/>
          <w:b/>
          <w:bCs/>
          <w:sz w:val="16"/>
          <w:szCs w:val="16"/>
        </w:rPr>
        <w:t xml:space="preserve"> dos Santos Brito</w:t>
      </w:r>
      <w:r w:rsidRPr="00847A09">
        <w:rPr>
          <w:rFonts w:ascii="Arial" w:hAnsi="Arial" w:cs="Arial"/>
          <w:sz w:val="16"/>
          <w:szCs w:val="16"/>
        </w:rPr>
        <w:t xml:space="preserve"> - Secretária Estadual da Educação</w:t>
      </w:r>
    </w:p>
    <w:p w:rsidR="00847A09" w:rsidRPr="00847A09" w:rsidRDefault="00847A09" w:rsidP="00847A09">
      <w:pPr>
        <w:spacing w:after="0" w:line="240" w:lineRule="auto"/>
        <w:jc w:val="both"/>
        <w:rPr>
          <w:rFonts w:ascii="Arial" w:hAnsi="Arial" w:cs="Arial"/>
          <w:sz w:val="16"/>
          <w:szCs w:val="16"/>
        </w:rPr>
      </w:pPr>
    </w:p>
    <w:sectPr w:rsidR="00847A09" w:rsidRPr="00847A09" w:rsidSect="00C519C1">
      <w:pgSz w:w="11906" w:h="16838"/>
      <w:pgMar w:top="720" w:right="1133"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B5"/>
    <w:rsid w:val="00030DE8"/>
    <w:rsid w:val="000D3E34"/>
    <w:rsid w:val="00164154"/>
    <w:rsid w:val="0016742F"/>
    <w:rsid w:val="00194E51"/>
    <w:rsid w:val="001B1E85"/>
    <w:rsid w:val="001D1B7A"/>
    <w:rsid w:val="002176DF"/>
    <w:rsid w:val="0023196D"/>
    <w:rsid w:val="002F2DDC"/>
    <w:rsid w:val="00341833"/>
    <w:rsid w:val="003C522C"/>
    <w:rsid w:val="003D4E2F"/>
    <w:rsid w:val="003F5F13"/>
    <w:rsid w:val="004B3359"/>
    <w:rsid w:val="004D025B"/>
    <w:rsid w:val="0056336F"/>
    <w:rsid w:val="00612004"/>
    <w:rsid w:val="00684659"/>
    <w:rsid w:val="00704CAC"/>
    <w:rsid w:val="007839C0"/>
    <w:rsid w:val="00830416"/>
    <w:rsid w:val="008363D7"/>
    <w:rsid w:val="00847A09"/>
    <w:rsid w:val="00864484"/>
    <w:rsid w:val="00896B36"/>
    <w:rsid w:val="008D26D3"/>
    <w:rsid w:val="00955773"/>
    <w:rsid w:val="00963F45"/>
    <w:rsid w:val="009E50AB"/>
    <w:rsid w:val="00A463E0"/>
    <w:rsid w:val="00A55D9E"/>
    <w:rsid w:val="00A6582C"/>
    <w:rsid w:val="00AA336C"/>
    <w:rsid w:val="00B617EC"/>
    <w:rsid w:val="00BA612E"/>
    <w:rsid w:val="00BC2A74"/>
    <w:rsid w:val="00BC32B8"/>
    <w:rsid w:val="00C519C1"/>
    <w:rsid w:val="00C90CF6"/>
    <w:rsid w:val="00D472B2"/>
    <w:rsid w:val="00D61272"/>
    <w:rsid w:val="00D929CA"/>
    <w:rsid w:val="00DA2C56"/>
    <w:rsid w:val="00E224B5"/>
    <w:rsid w:val="00E4094D"/>
    <w:rsid w:val="00E5258B"/>
    <w:rsid w:val="00E57005"/>
    <w:rsid w:val="00EB20FA"/>
    <w:rsid w:val="00F31ADA"/>
    <w:rsid w:val="00F45611"/>
    <w:rsid w:val="00FA7BD0"/>
    <w:rsid w:val="00FC3C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68859"/>
  <w15:chartTrackingRefBased/>
  <w15:docId w15:val="{159D96EF-0121-423E-B8F3-2480A893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5258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52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592">
      <w:bodyDiv w:val="1"/>
      <w:marLeft w:val="0"/>
      <w:marRight w:val="0"/>
      <w:marTop w:val="0"/>
      <w:marBottom w:val="0"/>
      <w:divBdr>
        <w:top w:val="none" w:sz="0" w:space="0" w:color="auto"/>
        <w:left w:val="none" w:sz="0" w:space="0" w:color="auto"/>
        <w:bottom w:val="none" w:sz="0" w:space="0" w:color="auto"/>
        <w:right w:val="none" w:sz="0" w:space="0" w:color="auto"/>
      </w:divBdr>
    </w:div>
    <w:div w:id="17005641">
      <w:bodyDiv w:val="1"/>
      <w:marLeft w:val="0"/>
      <w:marRight w:val="0"/>
      <w:marTop w:val="0"/>
      <w:marBottom w:val="0"/>
      <w:divBdr>
        <w:top w:val="none" w:sz="0" w:space="0" w:color="auto"/>
        <w:left w:val="none" w:sz="0" w:space="0" w:color="auto"/>
        <w:bottom w:val="none" w:sz="0" w:space="0" w:color="auto"/>
        <w:right w:val="none" w:sz="0" w:space="0" w:color="auto"/>
      </w:divBdr>
    </w:div>
    <w:div w:id="178355482">
      <w:bodyDiv w:val="1"/>
      <w:marLeft w:val="0"/>
      <w:marRight w:val="0"/>
      <w:marTop w:val="0"/>
      <w:marBottom w:val="0"/>
      <w:divBdr>
        <w:top w:val="none" w:sz="0" w:space="0" w:color="auto"/>
        <w:left w:val="none" w:sz="0" w:space="0" w:color="auto"/>
        <w:bottom w:val="none" w:sz="0" w:space="0" w:color="auto"/>
        <w:right w:val="none" w:sz="0" w:space="0" w:color="auto"/>
      </w:divBdr>
    </w:div>
    <w:div w:id="236668805">
      <w:bodyDiv w:val="1"/>
      <w:marLeft w:val="0"/>
      <w:marRight w:val="0"/>
      <w:marTop w:val="0"/>
      <w:marBottom w:val="0"/>
      <w:divBdr>
        <w:top w:val="none" w:sz="0" w:space="0" w:color="auto"/>
        <w:left w:val="none" w:sz="0" w:space="0" w:color="auto"/>
        <w:bottom w:val="none" w:sz="0" w:space="0" w:color="auto"/>
        <w:right w:val="none" w:sz="0" w:space="0" w:color="auto"/>
      </w:divBdr>
    </w:div>
    <w:div w:id="244923049">
      <w:bodyDiv w:val="1"/>
      <w:marLeft w:val="0"/>
      <w:marRight w:val="0"/>
      <w:marTop w:val="0"/>
      <w:marBottom w:val="0"/>
      <w:divBdr>
        <w:top w:val="none" w:sz="0" w:space="0" w:color="auto"/>
        <w:left w:val="none" w:sz="0" w:space="0" w:color="auto"/>
        <w:bottom w:val="none" w:sz="0" w:space="0" w:color="auto"/>
        <w:right w:val="none" w:sz="0" w:space="0" w:color="auto"/>
      </w:divBdr>
    </w:div>
    <w:div w:id="274287691">
      <w:bodyDiv w:val="1"/>
      <w:marLeft w:val="0"/>
      <w:marRight w:val="0"/>
      <w:marTop w:val="0"/>
      <w:marBottom w:val="0"/>
      <w:divBdr>
        <w:top w:val="none" w:sz="0" w:space="0" w:color="auto"/>
        <w:left w:val="none" w:sz="0" w:space="0" w:color="auto"/>
        <w:bottom w:val="none" w:sz="0" w:space="0" w:color="auto"/>
        <w:right w:val="none" w:sz="0" w:space="0" w:color="auto"/>
      </w:divBdr>
    </w:div>
    <w:div w:id="310210996">
      <w:bodyDiv w:val="1"/>
      <w:marLeft w:val="0"/>
      <w:marRight w:val="0"/>
      <w:marTop w:val="0"/>
      <w:marBottom w:val="0"/>
      <w:divBdr>
        <w:top w:val="none" w:sz="0" w:space="0" w:color="auto"/>
        <w:left w:val="none" w:sz="0" w:space="0" w:color="auto"/>
        <w:bottom w:val="none" w:sz="0" w:space="0" w:color="auto"/>
        <w:right w:val="none" w:sz="0" w:space="0" w:color="auto"/>
      </w:divBdr>
    </w:div>
    <w:div w:id="316688906">
      <w:bodyDiv w:val="1"/>
      <w:marLeft w:val="0"/>
      <w:marRight w:val="0"/>
      <w:marTop w:val="0"/>
      <w:marBottom w:val="0"/>
      <w:divBdr>
        <w:top w:val="none" w:sz="0" w:space="0" w:color="auto"/>
        <w:left w:val="none" w:sz="0" w:space="0" w:color="auto"/>
        <w:bottom w:val="none" w:sz="0" w:space="0" w:color="auto"/>
        <w:right w:val="none" w:sz="0" w:space="0" w:color="auto"/>
      </w:divBdr>
    </w:div>
    <w:div w:id="370108465">
      <w:bodyDiv w:val="1"/>
      <w:marLeft w:val="0"/>
      <w:marRight w:val="0"/>
      <w:marTop w:val="0"/>
      <w:marBottom w:val="0"/>
      <w:divBdr>
        <w:top w:val="none" w:sz="0" w:space="0" w:color="auto"/>
        <w:left w:val="none" w:sz="0" w:space="0" w:color="auto"/>
        <w:bottom w:val="none" w:sz="0" w:space="0" w:color="auto"/>
        <w:right w:val="none" w:sz="0" w:space="0" w:color="auto"/>
      </w:divBdr>
    </w:div>
    <w:div w:id="383406649">
      <w:bodyDiv w:val="1"/>
      <w:marLeft w:val="0"/>
      <w:marRight w:val="0"/>
      <w:marTop w:val="0"/>
      <w:marBottom w:val="0"/>
      <w:divBdr>
        <w:top w:val="none" w:sz="0" w:space="0" w:color="auto"/>
        <w:left w:val="none" w:sz="0" w:space="0" w:color="auto"/>
        <w:bottom w:val="none" w:sz="0" w:space="0" w:color="auto"/>
        <w:right w:val="none" w:sz="0" w:space="0" w:color="auto"/>
      </w:divBdr>
    </w:div>
    <w:div w:id="441995734">
      <w:bodyDiv w:val="1"/>
      <w:marLeft w:val="0"/>
      <w:marRight w:val="0"/>
      <w:marTop w:val="0"/>
      <w:marBottom w:val="0"/>
      <w:divBdr>
        <w:top w:val="none" w:sz="0" w:space="0" w:color="auto"/>
        <w:left w:val="none" w:sz="0" w:space="0" w:color="auto"/>
        <w:bottom w:val="none" w:sz="0" w:space="0" w:color="auto"/>
        <w:right w:val="none" w:sz="0" w:space="0" w:color="auto"/>
      </w:divBdr>
    </w:div>
    <w:div w:id="511186661">
      <w:bodyDiv w:val="1"/>
      <w:marLeft w:val="0"/>
      <w:marRight w:val="0"/>
      <w:marTop w:val="0"/>
      <w:marBottom w:val="0"/>
      <w:divBdr>
        <w:top w:val="none" w:sz="0" w:space="0" w:color="auto"/>
        <w:left w:val="none" w:sz="0" w:space="0" w:color="auto"/>
        <w:bottom w:val="none" w:sz="0" w:space="0" w:color="auto"/>
        <w:right w:val="none" w:sz="0" w:space="0" w:color="auto"/>
      </w:divBdr>
    </w:div>
    <w:div w:id="632099254">
      <w:bodyDiv w:val="1"/>
      <w:marLeft w:val="0"/>
      <w:marRight w:val="0"/>
      <w:marTop w:val="0"/>
      <w:marBottom w:val="0"/>
      <w:divBdr>
        <w:top w:val="none" w:sz="0" w:space="0" w:color="auto"/>
        <w:left w:val="none" w:sz="0" w:space="0" w:color="auto"/>
        <w:bottom w:val="none" w:sz="0" w:space="0" w:color="auto"/>
        <w:right w:val="none" w:sz="0" w:space="0" w:color="auto"/>
      </w:divBdr>
    </w:div>
    <w:div w:id="726956323">
      <w:bodyDiv w:val="1"/>
      <w:marLeft w:val="0"/>
      <w:marRight w:val="0"/>
      <w:marTop w:val="0"/>
      <w:marBottom w:val="0"/>
      <w:divBdr>
        <w:top w:val="none" w:sz="0" w:space="0" w:color="auto"/>
        <w:left w:val="none" w:sz="0" w:space="0" w:color="auto"/>
        <w:bottom w:val="none" w:sz="0" w:space="0" w:color="auto"/>
        <w:right w:val="none" w:sz="0" w:space="0" w:color="auto"/>
      </w:divBdr>
    </w:div>
    <w:div w:id="814831426">
      <w:bodyDiv w:val="1"/>
      <w:marLeft w:val="0"/>
      <w:marRight w:val="0"/>
      <w:marTop w:val="0"/>
      <w:marBottom w:val="0"/>
      <w:divBdr>
        <w:top w:val="none" w:sz="0" w:space="0" w:color="auto"/>
        <w:left w:val="none" w:sz="0" w:space="0" w:color="auto"/>
        <w:bottom w:val="none" w:sz="0" w:space="0" w:color="auto"/>
        <w:right w:val="none" w:sz="0" w:space="0" w:color="auto"/>
      </w:divBdr>
    </w:div>
    <w:div w:id="884172489">
      <w:bodyDiv w:val="1"/>
      <w:marLeft w:val="0"/>
      <w:marRight w:val="0"/>
      <w:marTop w:val="0"/>
      <w:marBottom w:val="0"/>
      <w:divBdr>
        <w:top w:val="none" w:sz="0" w:space="0" w:color="auto"/>
        <w:left w:val="none" w:sz="0" w:space="0" w:color="auto"/>
        <w:bottom w:val="none" w:sz="0" w:space="0" w:color="auto"/>
        <w:right w:val="none" w:sz="0" w:space="0" w:color="auto"/>
      </w:divBdr>
    </w:div>
    <w:div w:id="939264434">
      <w:bodyDiv w:val="1"/>
      <w:marLeft w:val="0"/>
      <w:marRight w:val="0"/>
      <w:marTop w:val="0"/>
      <w:marBottom w:val="0"/>
      <w:divBdr>
        <w:top w:val="none" w:sz="0" w:space="0" w:color="auto"/>
        <w:left w:val="none" w:sz="0" w:space="0" w:color="auto"/>
        <w:bottom w:val="none" w:sz="0" w:space="0" w:color="auto"/>
        <w:right w:val="none" w:sz="0" w:space="0" w:color="auto"/>
      </w:divBdr>
    </w:div>
    <w:div w:id="1008488491">
      <w:bodyDiv w:val="1"/>
      <w:marLeft w:val="0"/>
      <w:marRight w:val="0"/>
      <w:marTop w:val="0"/>
      <w:marBottom w:val="0"/>
      <w:divBdr>
        <w:top w:val="none" w:sz="0" w:space="0" w:color="auto"/>
        <w:left w:val="none" w:sz="0" w:space="0" w:color="auto"/>
        <w:bottom w:val="none" w:sz="0" w:space="0" w:color="auto"/>
        <w:right w:val="none" w:sz="0" w:space="0" w:color="auto"/>
      </w:divBdr>
    </w:div>
    <w:div w:id="1120761198">
      <w:bodyDiv w:val="1"/>
      <w:marLeft w:val="0"/>
      <w:marRight w:val="0"/>
      <w:marTop w:val="0"/>
      <w:marBottom w:val="0"/>
      <w:divBdr>
        <w:top w:val="none" w:sz="0" w:space="0" w:color="auto"/>
        <w:left w:val="none" w:sz="0" w:space="0" w:color="auto"/>
        <w:bottom w:val="none" w:sz="0" w:space="0" w:color="auto"/>
        <w:right w:val="none" w:sz="0" w:space="0" w:color="auto"/>
      </w:divBdr>
    </w:div>
    <w:div w:id="1232614431">
      <w:bodyDiv w:val="1"/>
      <w:marLeft w:val="0"/>
      <w:marRight w:val="0"/>
      <w:marTop w:val="0"/>
      <w:marBottom w:val="0"/>
      <w:divBdr>
        <w:top w:val="none" w:sz="0" w:space="0" w:color="auto"/>
        <w:left w:val="none" w:sz="0" w:space="0" w:color="auto"/>
        <w:bottom w:val="none" w:sz="0" w:space="0" w:color="auto"/>
        <w:right w:val="none" w:sz="0" w:space="0" w:color="auto"/>
      </w:divBdr>
    </w:div>
    <w:div w:id="1265770751">
      <w:bodyDiv w:val="1"/>
      <w:marLeft w:val="0"/>
      <w:marRight w:val="0"/>
      <w:marTop w:val="0"/>
      <w:marBottom w:val="0"/>
      <w:divBdr>
        <w:top w:val="none" w:sz="0" w:space="0" w:color="auto"/>
        <w:left w:val="none" w:sz="0" w:space="0" w:color="auto"/>
        <w:bottom w:val="none" w:sz="0" w:space="0" w:color="auto"/>
        <w:right w:val="none" w:sz="0" w:space="0" w:color="auto"/>
      </w:divBdr>
    </w:div>
    <w:div w:id="1312170705">
      <w:bodyDiv w:val="1"/>
      <w:marLeft w:val="0"/>
      <w:marRight w:val="0"/>
      <w:marTop w:val="0"/>
      <w:marBottom w:val="0"/>
      <w:divBdr>
        <w:top w:val="none" w:sz="0" w:space="0" w:color="auto"/>
        <w:left w:val="none" w:sz="0" w:space="0" w:color="auto"/>
        <w:bottom w:val="none" w:sz="0" w:space="0" w:color="auto"/>
        <w:right w:val="none" w:sz="0" w:space="0" w:color="auto"/>
      </w:divBdr>
    </w:div>
    <w:div w:id="1316684231">
      <w:bodyDiv w:val="1"/>
      <w:marLeft w:val="0"/>
      <w:marRight w:val="0"/>
      <w:marTop w:val="0"/>
      <w:marBottom w:val="0"/>
      <w:divBdr>
        <w:top w:val="none" w:sz="0" w:space="0" w:color="auto"/>
        <w:left w:val="none" w:sz="0" w:space="0" w:color="auto"/>
        <w:bottom w:val="none" w:sz="0" w:space="0" w:color="auto"/>
        <w:right w:val="none" w:sz="0" w:space="0" w:color="auto"/>
      </w:divBdr>
    </w:div>
    <w:div w:id="1359547494">
      <w:bodyDiv w:val="1"/>
      <w:marLeft w:val="0"/>
      <w:marRight w:val="0"/>
      <w:marTop w:val="0"/>
      <w:marBottom w:val="0"/>
      <w:divBdr>
        <w:top w:val="none" w:sz="0" w:space="0" w:color="auto"/>
        <w:left w:val="none" w:sz="0" w:space="0" w:color="auto"/>
        <w:bottom w:val="none" w:sz="0" w:space="0" w:color="auto"/>
        <w:right w:val="none" w:sz="0" w:space="0" w:color="auto"/>
      </w:divBdr>
    </w:div>
    <w:div w:id="1395542149">
      <w:bodyDiv w:val="1"/>
      <w:marLeft w:val="0"/>
      <w:marRight w:val="0"/>
      <w:marTop w:val="0"/>
      <w:marBottom w:val="0"/>
      <w:divBdr>
        <w:top w:val="none" w:sz="0" w:space="0" w:color="auto"/>
        <w:left w:val="none" w:sz="0" w:space="0" w:color="auto"/>
        <w:bottom w:val="none" w:sz="0" w:space="0" w:color="auto"/>
        <w:right w:val="none" w:sz="0" w:space="0" w:color="auto"/>
      </w:divBdr>
    </w:div>
    <w:div w:id="1413696490">
      <w:bodyDiv w:val="1"/>
      <w:marLeft w:val="0"/>
      <w:marRight w:val="0"/>
      <w:marTop w:val="0"/>
      <w:marBottom w:val="0"/>
      <w:divBdr>
        <w:top w:val="none" w:sz="0" w:space="0" w:color="auto"/>
        <w:left w:val="none" w:sz="0" w:space="0" w:color="auto"/>
        <w:bottom w:val="none" w:sz="0" w:space="0" w:color="auto"/>
        <w:right w:val="none" w:sz="0" w:space="0" w:color="auto"/>
      </w:divBdr>
    </w:div>
    <w:div w:id="1429698636">
      <w:bodyDiv w:val="1"/>
      <w:marLeft w:val="0"/>
      <w:marRight w:val="0"/>
      <w:marTop w:val="0"/>
      <w:marBottom w:val="0"/>
      <w:divBdr>
        <w:top w:val="none" w:sz="0" w:space="0" w:color="auto"/>
        <w:left w:val="none" w:sz="0" w:space="0" w:color="auto"/>
        <w:bottom w:val="none" w:sz="0" w:space="0" w:color="auto"/>
        <w:right w:val="none" w:sz="0" w:space="0" w:color="auto"/>
      </w:divBdr>
    </w:div>
    <w:div w:id="1449397209">
      <w:bodyDiv w:val="1"/>
      <w:marLeft w:val="0"/>
      <w:marRight w:val="0"/>
      <w:marTop w:val="0"/>
      <w:marBottom w:val="0"/>
      <w:divBdr>
        <w:top w:val="none" w:sz="0" w:space="0" w:color="auto"/>
        <w:left w:val="none" w:sz="0" w:space="0" w:color="auto"/>
        <w:bottom w:val="none" w:sz="0" w:space="0" w:color="auto"/>
        <w:right w:val="none" w:sz="0" w:space="0" w:color="auto"/>
      </w:divBdr>
    </w:div>
    <w:div w:id="1498840580">
      <w:bodyDiv w:val="1"/>
      <w:marLeft w:val="0"/>
      <w:marRight w:val="0"/>
      <w:marTop w:val="0"/>
      <w:marBottom w:val="0"/>
      <w:divBdr>
        <w:top w:val="none" w:sz="0" w:space="0" w:color="auto"/>
        <w:left w:val="none" w:sz="0" w:space="0" w:color="auto"/>
        <w:bottom w:val="none" w:sz="0" w:space="0" w:color="auto"/>
        <w:right w:val="none" w:sz="0" w:space="0" w:color="auto"/>
      </w:divBdr>
    </w:div>
    <w:div w:id="1511525871">
      <w:bodyDiv w:val="1"/>
      <w:marLeft w:val="0"/>
      <w:marRight w:val="0"/>
      <w:marTop w:val="0"/>
      <w:marBottom w:val="0"/>
      <w:divBdr>
        <w:top w:val="none" w:sz="0" w:space="0" w:color="auto"/>
        <w:left w:val="none" w:sz="0" w:space="0" w:color="auto"/>
        <w:bottom w:val="none" w:sz="0" w:space="0" w:color="auto"/>
        <w:right w:val="none" w:sz="0" w:space="0" w:color="auto"/>
      </w:divBdr>
    </w:div>
    <w:div w:id="1606885890">
      <w:bodyDiv w:val="1"/>
      <w:marLeft w:val="0"/>
      <w:marRight w:val="0"/>
      <w:marTop w:val="0"/>
      <w:marBottom w:val="0"/>
      <w:divBdr>
        <w:top w:val="none" w:sz="0" w:space="0" w:color="auto"/>
        <w:left w:val="none" w:sz="0" w:space="0" w:color="auto"/>
        <w:bottom w:val="none" w:sz="0" w:space="0" w:color="auto"/>
        <w:right w:val="none" w:sz="0" w:space="0" w:color="auto"/>
      </w:divBdr>
    </w:div>
    <w:div w:id="1630474667">
      <w:bodyDiv w:val="1"/>
      <w:marLeft w:val="0"/>
      <w:marRight w:val="0"/>
      <w:marTop w:val="0"/>
      <w:marBottom w:val="0"/>
      <w:divBdr>
        <w:top w:val="none" w:sz="0" w:space="0" w:color="auto"/>
        <w:left w:val="none" w:sz="0" w:space="0" w:color="auto"/>
        <w:bottom w:val="none" w:sz="0" w:space="0" w:color="auto"/>
        <w:right w:val="none" w:sz="0" w:space="0" w:color="auto"/>
      </w:divBdr>
    </w:div>
    <w:div w:id="1636911663">
      <w:bodyDiv w:val="1"/>
      <w:marLeft w:val="0"/>
      <w:marRight w:val="0"/>
      <w:marTop w:val="0"/>
      <w:marBottom w:val="0"/>
      <w:divBdr>
        <w:top w:val="none" w:sz="0" w:space="0" w:color="auto"/>
        <w:left w:val="none" w:sz="0" w:space="0" w:color="auto"/>
        <w:bottom w:val="none" w:sz="0" w:space="0" w:color="auto"/>
        <w:right w:val="none" w:sz="0" w:space="0" w:color="auto"/>
      </w:divBdr>
    </w:div>
    <w:div w:id="1657537682">
      <w:bodyDiv w:val="1"/>
      <w:marLeft w:val="0"/>
      <w:marRight w:val="0"/>
      <w:marTop w:val="0"/>
      <w:marBottom w:val="0"/>
      <w:divBdr>
        <w:top w:val="none" w:sz="0" w:space="0" w:color="auto"/>
        <w:left w:val="none" w:sz="0" w:space="0" w:color="auto"/>
        <w:bottom w:val="none" w:sz="0" w:space="0" w:color="auto"/>
        <w:right w:val="none" w:sz="0" w:space="0" w:color="auto"/>
      </w:divBdr>
    </w:div>
    <w:div w:id="1663655779">
      <w:bodyDiv w:val="1"/>
      <w:marLeft w:val="0"/>
      <w:marRight w:val="0"/>
      <w:marTop w:val="0"/>
      <w:marBottom w:val="0"/>
      <w:divBdr>
        <w:top w:val="none" w:sz="0" w:space="0" w:color="auto"/>
        <w:left w:val="none" w:sz="0" w:space="0" w:color="auto"/>
        <w:bottom w:val="none" w:sz="0" w:space="0" w:color="auto"/>
        <w:right w:val="none" w:sz="0" w:space="0" w:color="auto"/>
      </w:divBdr>
    </w:div>
    <w:div w:id="1743024554">
      <w:bodyDiv w:val="1"/>
      <w:marLeft w:val="0"/>
      <w:marRight w:val="0"/>
      <w:marTop w:val="0"/>
      <w:marBottom w:val="0"/>
      <w:divBdr>
        <w:top w:val="none" w:sz="0" w:space="0" w:color="auto"/>
        <w:left w:val="none" w:sz="0" w:space="0" w:color="auto"/>
        <w:bottom w:val="none" w:sz="0" w:space="0" w:color="auto"/>
        <w:right w:val="none" w:sz="0" w:space="0" w:color="auto"/>
      </w:divBdr>
    </w:div>
    <w:div w:id="1777093454">
      <w:bodyDiv w:val="1"/>
      <w:marLeft w:val="0"/>
      <w:marRight w:val="0"/>
      <w:marTop w:val="0"/>
      <w:marBottom w:val="0"/>
      <w:divBdr>
        <w:top w:val="none" w:sz="0" w:space="0" w:color="auto"/>
        <w:left w:val="none" w:sz="0" w:space="0" w:color="auto"/>
        <w:bottom w:val="none" w:sz="0" w:space="0" w:color="auto"/>
        <w:right w:val="none" w:sz="0" w:space="0" w:color="auto"/>
      </w:divBdr>
    </w:div>
    <w:div w:id="1808548740">
      <w:bodyDiv w:val="1"/>
      <w:marLeft w:val="0"/>
      <w:marRight w:val="0"/>
      <w:marTop w:val="0"/>
      <w:marBottom w:val="0"/>
      <w:divBdr>
        <w:top w:val="none" w:sz="0" w:space="0" w:color="auto"/>
        <w:left w:val="none" w:sz="0" w:space="0" w:color="auto"/>
        <w:bottom w:val="none" w:sz="0" w:space="0" w:color="auto"/>
        <w:right w:val="none" w:sz="0" w:space="0" w:color="auto"/>
      </w:divBdr>
    </w:div>
    <w:div w:id="1930851197">
      <w:bodyDiv w:val="1"/>
      <w:marLeft w:val="0"/>
      <w:marRight w:val="0"/>
      <w:marTop w:val="0"/>
      <w:marBottom w:val="0"/>
      <w:divBdr>
        <w:top w:val="none" w:sz="0" w:space="0" w:color="auto"/>
        <w:left w:val="none" w:sz="0" w:space="0" w:color="auto"/>
        <w:bottom w:val="none" w:sz="0" w:space="0" w:color="auto"/>
        <w:right w:val="none" w:sz="0" w:space="0" w:color="auto"/>
      </w:divBdr>
    </w:div>
    <w:div w:id="1933312924">
      <w:bodyDiv w:val="1"/>
      <w:marLeft w:val="0"/>
      <w:marRight w:val="0"/>
      <w:marTop w:val="0"/>
      <w:marBottom w:val="0"/>
      <w:divBdr>
        <w:top w:val="none" w:sz="0" w:space="0" w:color="auto"/>
        <w:left w:val="none" w:sz="0" w:space="0" w:color="auto"/>
        <w:bottom w:val="none" w:sz="0" w:space="0" w:color="auto"/>
        <w:right w:val="none" w:sz="0" w:space="0" w:color="auto"/>
      </w:divBdr>
    </w:div>
    <w:div w:id="2016112150">
      <w:bodyDiv w:val="1"/>
      <w:marLeft w:val="0"/>
      <w:marRight w:val="0"/>
      <w:marTop w:val="0"/>
      <w:marBottom w:val="0"/>
      <w:divBdr>
        <w:top w:val="none" w:sz="0" w:space="0" w:color="auto"/>
        <w:left w:val="none" w:sz="0" w:space="0" w:color="auto"/>
        <w:bottom w:val="none" w:sz="0" w:space="0" w:color="auto"/>
        <w:right w:val="none" w:sz="0" w:space="0" w:color="auto"/>
      </w:divBdr>
    </w:div>
    <w:div w:id="2035692949">
      <w:bodyDiv w:val="1"/>
      <w:marLeft w:val="0"/>
      <w:marRight w:val="0"/>
      <w:marTop w:val="0"/>
      <w:marBottom w:val="0"/>
      <w:divBdr>
        <w:top w:val="none" w:sz="0" w:space="0" w:color="auto"/>
        <w:left w:val="none" w:sz="0" w:space="0" w:color="auto"/>
        <w:bottom w:val="none" w:sz="0" w:space="0" w:color="auto"/>
        <w:right w:val="none" w:sz="0" w:space="0" w:color="auto"/>
      </w:divBdr>
    </w:div>
    <w:div w:id="2109808914">
      <w:bodyDiv w:val="1"/>
      <w:marLeft w:val="0"/>
      <w:marRight w:val="0"/>
      <w:marTop w:val="0"/>
      <w:marBottom w:val="0"/>
      <w:divBdr>
        <w:top w:val="none" w:sz="0" w:space="0" w:color="auto"/>
        <w:left w:val="none" w:sz="0" w:space="0" w:color="auto"/>
        <w:bottom w:val="none" w:sz="0" w:space="0" w:color="auto"/>
        <w:right w:val="none" w:sz="0" w:space="0" w:color="auto"/>
      </w:divBdr>
    </w:div>
    <w:div w:id="21118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957</Words>
  <Characters>5174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Davi Silva Almeida</dc:creator>
  <cp:keywords/>
  <dc:description/>
  <cp:lastModifiedBy>Daniela da Silva Mota</cp:lastModifiedBy>
  <cp:revision>4</cp:revision>
  <dcterms:created xsi:type="dcterms:W3CDTF">2025-03-13T16:54:00Z</dcterms:created>
  <dcterms:modified xsi:type="dcterms:W3CDTF">2025-03-13T19:38:00Z</dcterms:modified>
</cp:coreProperties>
</file>