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DA SELEÇÃO – PRAZO DAS ETAPAS (Atualizado em </w:t>
      </w:r>
      <w:r w:rsidDel="00000000" w:rsidR="00000000" w:rsidRPr="00000000">
        <w:rPr>
          <w:b w:val="1"/>
          <w:bCs w:val="1"/>
          <w:rtl w:val="0"/>
        </w:rPr>
        <w:t xml:space="preserve">06.02</w:t>
      </w:r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4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Para efeito de contagem, todos os prazos são em dias corridos, salvo onde indicado o contrário.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Período de Inscrição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20 de março a 20 de abril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Publicação do Resultado preliminar de Seleção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 até 20 (vinte) dias após o término do período de inscrição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Interposição de Recursos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 até 03 (três) dias úteis após a Publicação do Resultado de Seleção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Resultado Final do Credenciamento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 até 40 (quarenta) dias após o término do período de inscrição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Entrega documentação para contratação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 até 04 (quatro) dias após a convocação oficial</w:t>
            </w:r>
          </w:p>
        </w:tc>
      </w:tr>
    </w:tbl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39973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