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bjcftzhbfjt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pessoas agentes culturais concorrentes às cotas étnico-raciais – </w:t>
      </w:r>
      <w:r w:rsidDel="00000000" w:rsidR="00000000" w:rsidRPr="00000000">
        <w:rPr>
          <w:sz w:val="27"/>
          <w:szCs w:val="27"/>
          <w:rtl w:val="0"/>
        </w:rPr>
        <w:t xml:space="preserve">pretos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sz w:val="27"/>
          <w:szCs w:val="27"/>
          <w:rtl w:val="0"/>
        </w:rPr>
        <w:t xml:space="preserve">pardos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negra __________________________________ [Preto(a) ou pardo(a)]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221288" cy="7876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1288" cy="787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I+duBWHWORKabDXHiEXLb66Jg==">CgMxLjAyDmguYmpjZnR6aGJmanRwOAByITFCb25mWmVLT0hPb083N2lxNEdSNm9NbW9ObE0xWDhBMA==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2024-09-04T15:58:00Z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