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5857240</wp:posOffset>
            </wp:positionH>
            <wp:positionV relativeFrom="page">
              <wp:posOffset>501015</wp:posOffset>
            </wp:positionV>
            <wp:extent cx="1229360" cy="62484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6248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vertAlign w:val="baseline"/>
          <w:rtl w:val="0"/>
        </w:rPr>
        <w:t xml:space="preserve">FORMULÁRIO DE RESERVA DE PAUTA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Preencha e envie: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por e-mail: </w:t>
      </w:r>
      <w:hyperlink r:id="rId8">
        <w:r w:rsidDel="00000000" w:rsidR="00000000" w:rsidRPr="00000000">
          <w:rPr>
            <w:rFonts w:ascii="Arial" w:cs="Arial" w:eastAsia="Arial" w:hAnsi="Arial"/>
            <w:sz w:val="20"/>
            <w:szCs w:val="20"/>
            <w:u w:val="single"/>
            <w:vertAlign w:val="baseline"/>
            <w:rtl w:val="0"/>
          </w:rPr>
          <w:t xml:space="preserve">contratos@tca.ba.gov.br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com cópia para </w:t>
      </w:r>
      <w:hyperlink r:id="rId9">
        <w:r w:rsidDel="00000000" w:rsidR="00000000" w:rsidRPr="00000000">
          <w:rPr>
            <w:rFonts w:ascii="Arial" w:cs="Arial" w:eastAsia="Arial" w:hAnsi="Arial"/>
            <w:sz w:val="20"/>
            <w:szCs w:val="20"/>
            <w:u w:val="single"/>
            <w:vertAlign w:val="baseline"/>
            <w:rtl w:val="0"/>
          </w:rPr>
          <w:t xml:space="preserve">contratostca@gmail.com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ff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ff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5.0" w:type="dxa"/>
        <w:jc w:val="left"/>
        <w:tblInd w:w="-1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965"/>
        <w:gridCol w:w="4990"/>
        <w:tblGridChange w:id="0">
          <w:tblGrid>
            <w:gridCol w:w="4965"/>
            <w:gridCol w:w="4990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1. IDENTIFICAÇÃO DO LOCAL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vertAlign w:val="baseline"/>
                <w:rtl w:val="0"/>
              </w:rPr>
              <w:t xml:space="preserve">(  ) SALA PRINCIPAL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vertAlign w:val="baseline"/>
                <w:rtl w:val="0"/>
              </w:rPr>
              <w:t xml:space="preserve">(  ) FOYER                                                       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  ) VÃO LIVRE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  ) JARDIM SUSPENSO</w:t>
            </w:r>
          </w:p>
        </w:tc>
      </w:tr>
    </w:tbl>
    <w:p w:rsidR="00000000" w:rsidDel="00000000" w:rsidP="00000000" w:rsidRDefault="00000000" w:rsidRPr="00000000" w14:paraId="0000000D">
      <w:pPr>
        <w:spacing w:after="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80.0" w:type="dxa"/>
        <w:jc w:val="left"/>
        <w:tblInd w:w="-1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980"/>
        <w:tblGridChange w:id="0">
          <w:tblGrid>
            <w:gridCol w:w="9980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2. PAUTA PRETENDIDA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15.0" w:type="dxa"/>
        <w:jc w:val="left"/>
        <w:tblInd w:w="-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46"/>
        <w:gridCol w:w="4350"/>
        <w:gridCol w:w="2319"/>
        <w:tblGridChange w:id="0">
          <w:tblGrid>
            <w:gridCol w:w="3346"/>
            <w:gridCol w:w="4350"/>
            <w:gridCol w:w="231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3. IDENTIFICAÇÃO DO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RAZÃO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spacing w:after="0" w:before="240" w:line="240" w:lineRule="auto"/>
              <w:ind w:right="10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9a9a9" w:val="clear"/>
                <w:vertAlign w:val="baseline"/>
                <w:rtl w:val="0"/>
              </w:rPr>
              <w:t xml:space="preserve">QUAL ENQUADRAMENTO TRIBUTÁRIO DO CNPJ?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before="240" w:line="240" w:lineRule="auto"/>
              <w:ind w:left="100" w:right="100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 MEI (  )    SIMPLES NACIONAL (  )    LUCRO PRESUMIDO (  )    LUCRO REAL (  )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spacing w:after="0" w:before="240" w:line="240" w:lineRule="auto"/>
              <w:ind w:left="100" w:right="100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ENDEREÇO 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RESPONSÁVEL PELO CONTRATO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RG:                                              ÓRGÃO EMISSOR:                              </w:t>
              <w:tab/>
              <w:t xml:space="preserve">CPF:                         </w:t>
              <w:tab/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ENDEREÇO PESSOA FÍSICA: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A">
      <w:pPr>
        <w:spacing w:after="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92.0" w:type="dxa"/>
        <w:jc w:val="left"/>
        <w:tblInd w:w="-1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5079"/>
        <w:gridCol w:w="5013"/>
        <w:tblGridChange w:id="0">
          <w:tblGrid>
            <w:gridCol w:w="5079"/>
            <w:gridCol w:w="5013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4. IDENTIFICAÇÃO DO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NOME DO EVENTO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SITE/BLOG/REDE SOCIAL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NOME DO ARTISTA, BANDA, COMPANHIA TEATRAL, ETC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EMPRESA PRODUTORA LOCAL, RESPONSÁVEL PELA EXECUÇÃO DO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PRODUTOR RESPONSÁVEL PELO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65.0" w:type="dxa"/>
        <w:jc w:val="left"/>
        <w:tblInd w:w="-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rHeight w:val="300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5. INFORMAÇÕES DO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240" w:lin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ATIVIDADE(S)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240" w:line="240" w:lineRule="auto"/>
              <w:ind w:left="100" w:right="10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  ) ESPETÁCULO  (  ) GRAVAÇÃO  ( ) EXIBIÇÃO AUDIOVISUAL  (  ) SEMINÁRIO 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  ) OFICINA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240" w:line="240" w:lineRule="auto"/>
              <w:ind w:left="100" w:right="10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(  ) FESTIVAL/MOSTRA  ( ) LANÇAMENTO  (  ) EXPOSIÇÃO   (   ) PALESTRA 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  ) OUTROS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before="240" w:lin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ATIVIDADE(S)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before="240" w:line="240" w:lineRule="auto"/>
              <w:ind w:left="100" w:right="100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  ) Artes Visuais   (  ) Audiovisual  (  ) Dança  (  ) Circo  (  ) Seminário  (  ) Música </w:t>
            </w:r>
          </w:p>
        </w:tc>
      </w:tr>
      <w:tr>
        <w:trPr>
          <w:cantSplit w:val="0"/>
          <w:trHeight w:val="605" w:hRule="atLeast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240" w:line="240" w:lineRule="auto"/>
              <w:ind w:left="100" w:right="-567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  ) Multimídia  (  ) Literatura  (  ) Manifestação Popular  (  ) Outros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41" w:rightFromText="141" w:topFromText="0" w:bottomFromText="0" w:vertAnchor="text" w:horzAnchor="text" w:tblpX="0" w:tblpY="447"/>
        <w:tblW w:w="1003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31"/>
        <w:tblGridChange w:id="0">
          <w:tblGrid>
            <w:gridCol w:w="10031"/>
          </w:tblGrid>
        </w:tblGridChange>
      </w:tblGrid>
      <w:tr>
        <w:trPr>
          <w:cantSplit w:val="0"/>
          <w:trHeight w:val="4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6. RESUMO DO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20.0" w:type="dxa"/>
        <w:jc w:val="left"/>
        <w:tblInd w:w="-11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120"/>
        <w:gridCol w:w="1225"/>
        <w:gridCol w:w="735"/>
        <w:gridCol w:w="426"/>
        <w:gridCol w:w="830"/>
        <w:gridCol w:w="1414"/>
        <w:gridCol w:w="1158"/>
        <w:gridCol w:w="762"/>
        <w:gridCol w:w="1350"/>
        <w:tblGridChange w:id="0">
          <w:tblGrid>
            <w:gridCol w:w="2120"/>
            <w:gridCol w:w="1225"/>
            <w:gridCol w:w="735"/>
            <w:gridCol w:w="426"/>
            <w:gridCol w:w="830"/>
            <w:gridCol w:w="1414"/>
            <w:gridCol w:w="1158"/>
            <w:gridCol w:w="762"/>
            <w:gridCol w:w="1350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7. DETALHAMENTO DAS ATIVIDADES DO EVENTO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CLASSIFICAÇÃO INDICATIVA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  <w:rtl w:val="0"/>
              </w:rPr>
              <w:t xml:space="preserve">Determinação dos Juizados de Menores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before="240" w:lineRule="auto"/>
              <w:ind w:right="10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   ) Livre (   ) 10 anos (   ) 12 anos (   ) 14 anos (   ) 16 anos        (   ) 18 anos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after="0" w:before="240" w:lineRule="auto"/>
              <w:ind w:right="10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Data(s) de realização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Horário (s) de realização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Quantidade de sessões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Qtd. de Dias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(para oficinas)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Início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Fim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Arial" w:cs="Arial" w:eastAsia="Arial" w:hAnsi="Arial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Arial" w:cs="Arial" w:eastAsia="Arial" w:hAnsi="Arial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Descrição do público-alvo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(perfil, características, faixa etária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Estimativa de Público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ACESSO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(   ) Com cobrança de ingresso    (   ) Entrada franca (gratuito)   (   ) Público restrito (convites)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VALOR DOS INGRESSOS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3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PRINCIPAL (Filas de A à Z11)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FILA: ______________     INTEIRA R$ ______________         MEIA R$________________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FILA: ______________     INTEIRA R$ ______________         MEIA R$________________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FILA: ______________     INTEIRA R$ ______________         MEIA R$________________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before="240" w:line="240" w:lineRule="auto"/>
              <w:ind w:right="10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Patrocinado por Clube de Assinantes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2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(   ) Não (   ) 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Percentual: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Veículo de Comunicação: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2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Percentual: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Veículo de Comunicação: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6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Percentual: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Veículo de Comunicação: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OUTROS DESCONTOS: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0" w:before="240" w:lineRule="auto"/>
              <w:ind w:left="100" w:right="100" w:firstLine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Percentual: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6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Veículo de Comunicação: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2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Percentual: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Veículo de Comunicação: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2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08080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Percentual: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0" w:before="240" w:lineRule="auto"/>
              <w:ind w:left="100" w:right="100" w:firstLine="0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Veículo de Comunicação: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Montagem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Desmontagem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6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Data e 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Duração estimada em horas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Data e Horário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Duração estimada em horas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Início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0.0" w:type="dxa"/>
              <w:left w:w="140.0" w:type="dxa"/>
              <w:bottom w:w="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 A decisão do Produtor pela inclusão de qualquer desconto deverá ser anterior à assinatura do contrato de cessão pauta, sendo esse desconto limitado a 10% dos ingressos à venda por categoria/setor e não sendo superior a 40% do valor do ingresso de inteira.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 produtor deverá arcar com o ônus da concessão do desconto, efetuando pagamento na ordem de 10% (dez por cento) sobre o valor total do desconto concedido, computando-se o número dos ingressos vendidos.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Deverá  assegurar a cota de 40% dos ingressos à venda como meia entrada para idosos, pessoas com deficiência e estudantes, conforme previsto pela Lei Federal n°. 12.933, de 26 de dezembro de 2013; assim como, da Lei Municipal nº 9.763/2023, que assegura o pagamento de meia entrada para professores, coordenadores pedagógicos e titulares de cargos do quadro de apoio da Rede de Ensino da Cidade de Salvador, ativos e aposentados e; Lei Estadual nº14.765/2024, que garante a meia entrada para profissionais do magistério e trabalhadores em unidades de ensino da Bahia;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numPr>
                <w:ilvl w:val="0"/>
                <w:numId w:val="1"/>
              </w:numPr>
              <w:spacing w:after="24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Conforme disposto na Cláusula 4ª do Termo de Compromisso e Responsabilidade, o Teatro Castro Alves (TCA), por meio do contrato nº 006/2025 (decorrente do pregão nº 004/2024), a TTRS Serviços S.A. (Sympla) opera com bilheteria exclusiva. Assim, toda a comercialização e venda de ingressos para eventos no TCA devem ser feitas exclusivamente pela Bilheteria Licitada;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Contatos (nome, celular e e-mail)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Técnico 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iluminação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Técnico 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sonorização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HORÁRIO ESTABELECIDO PARA MONTAGEM COM SUPORTE TÉCNICO DE FUNCIONÁRIOS TCA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Sala Principal: 13h às 19h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 produção que necessitar de horário extra deverá entrar em contato com o gestor do espaço a ser utilizado.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Montagens 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desmontagens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não poderão ser realizadas sem o acompanhamento de funcionário da técnica.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5">
      <w:pPr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31.0" w:type="dxa"/>
        <w:jc w:val="left"/>
        <w:tblInd w:w="-10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0031"/>
        <w:tblGridChange w:id="0">
          <w:tblGrid>
            <w:gridCol w:w="10031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8. VALORES DE PAUTA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VALOR DE LOCAÇÃO POR APRESENTAÇÃO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vertAlign w:val="baseline"/>
                <w:rtl w:val="0"/>
              </w:rPr>
              <w:t xml:space="preserve">VERIFICAR REGRAS DO NO EDITAL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TAXA DE RESERVA DE PAUTA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3.955078124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vertAlign w:val="baseline"/>
                <w:rtl w:val="0"/>
              </w:rPr>
              <w:t xml:space="preserve">VERIFICAR REGRAS DO NO EDITAL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TAXA DE MONTAGEM DIÁRIA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vertAlign w:val="baseline"/>
                <w:rtl w:val="0"/>
              </w:rPr>
              <w:t xml:space="preserve">VERIFICAR REGRAS DO NO EDITAL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C6">
            <w:pPr>
              <w:spacing w:after="0" w:line="240" w:lineRule="auto"/>
              <w:ind w:left="142" w:firstLine="0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OBSERVAÇÕES: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Depósitos Bancários devem ser efetuados em favor 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ind w:left="360" w:firstLine="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     Fundação Cultural do Estado da Bahia -TCA, CNPJ: 13.266.325/0001-62,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ind w:left="360" w:firstLine="0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     para a conta corrente nº 991250-9, da Agência 3832-6 do Banco do Brasil S.A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65.0" w:type="dxa"/>
        <w:jc w:val="left"/>
        <w:tblInd w:w="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48"/>
        <w:gridCol w:w="4123"/>
        <w:gridCol w:w="4394"/>
        <w:tblGridChange w:id="0">
          <w:tblGrid>
            <w:gridCol w:w="1548"/>
            <w:gridCol w:w="4123"/>
            <w:gridCol w:w="4394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09. COTA DE CONVITES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95703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SALA PRINCIPAL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PRODUÇÃO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highlight w:val="white"/>
                <w:vertAlign w:val="baseline"/>
                <w:rtl w:val="0"/>
              </w:rPr>
              <w:t xml:space="preserve">TCA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baseline"/>
                <w:rtl w:val="0"/>
              </w:rPr>
              <w:t xml:space="preserve">LUGARES CATIVOS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39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vertAlign w:val="baseline"/>
                <w:rtl w:val="0"/>
              </w:rPr>
              <w:t xml:space="preserve"> cativos   (01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sessão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170 cativos   (01 sessão)</w:t>
            </w:r>
          </w:p>
        </w:tc>
      </w:tr>
      <w:tr>
        <w:trPr>
          <w:cantSplit w:val="1"/>
          <w:trHeight w:val="26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2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  <w:tcMar>
              <w:left w:w="7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after="0" w:line="240" w:lineRule="auto"/>
              <w:ind w:left="142" w:firstLine="0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OBSERVAÇÕES: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62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Sobre a cota de convites incidirá a cobrança do ECAD, conforme a Lei 9610-98 e Regulamento de Arrecadação Consolidada do ECAD vigente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ind w:firstLine="708"/>
              <w:rPr>
                <w:rFonts w:ascii="Cambria" w:cs="Cambria" w:eastAsia="Cambria" w:hAnsi="Cambria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2">
      <w:pPr>
        <w:spacing w:after="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923.0" w:type="dxa"/>
        <w:jc w:val="left"/>
        <w:tblInd w:w="1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10. ANEXOS OBRIGATÓRIOS (com antecedência mínima de 30 dias)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E5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Rider técnico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Cenografia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Mapa de luz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Release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Fotos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Cronograma completo do Evento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B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923.0" w:type="dxa"/>
        <w:jc w:val="left"/>
        <w:tblInd w:w="1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11. DOCUMENTAÇÃO PARA ASSINATURA DO CONTRATO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EE">
            <w:pPr>
              <w:spacing w:after="0" w:line="24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Contrato Social e/ou Ata de Posse e a sua última alteração;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RG e CPF do (s) Sócio (s) “pessoa que assinará o Contrato”;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CNPJ (Comprovante de inscrição e situação cadastral) - extraído do site da receita: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www.receita.fazenda.gov.br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CRF (Certificado de Regularidade FGTS) – Fundo de Garantia - extraído do site da Caixa Econômica: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www.caixa.gov.br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CND (Certidão Negativa de Débito) - extraído do site da receita: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www.receita.fazenda.gov.br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; e </w:t>
            </w:r>
            <w:hyperlink r:id="rId13">
              <w:r w:rsidDel="00000000" w:rsidR="00000000" w:rsidRPr="00000000">
                <w:rPr>
                  <w:rFonts w:ascii="Arial" w:cs="Arial" w:eastAsia="Arial" w:hAnsi="Arial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www.dataprev.gov.br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Certidão Negativa de Débitos Trabalhistas – extraído do site do TST: 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www.tst.jus.br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Certidão Negativa de Débitos Tributários – extraído do site do SEFAZ/BA: </w:t>
            </w:r>
            <w:hyperlink r:id="rId15">
              <w:r w:rsidDel="00000000" w:rsidR="00000000" w:rsidRPr="00000000">
                <w:rPr>
                  <w:rFonts w:ascii="Arial" w:cs="Arial" w:eastAsia="Arial" w:hAnsi="Arial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www.sefaz.ba.gov.br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Certidão Negativa de Débitos Mobiliários – extraído do site do SEFAZ/Salvador: </w:t>
            </w:r>
            <w:hyperlink r:id="rId16">
              <w:r w:rsidDel="00000000" w:rsidR="00000000" w:rsidRPr="00000000">
                <w:rPr>
                  <w:rFonts w:ascii="Arial" w:cs="Arial" w:eastAsia="Arial" w:hAnsi="Arial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http://www.sefaz.salvador.ba.gov.br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12. DOCUMENTAÇÃO DE LIBERAÇÃO POR ÓRGÃOS E ENTIDADES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1FA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Alvará do Juizado da Infância e Juventude;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Autorização do ECAD (para Shows Musicais);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Autorização do SBAT (para espetáculos de dança e teatro);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Enviar o repertório do evento para o ECAD.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13. OBSERVAÇÕES GERAIS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 *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vertAlign w:val="baseline"/>
                <w:rtl w:val="0"/>
              </w:rPr>
              <w:t xml:space="preserve">FAVOR LER COM ATENÇÃO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1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Não haverá devolução dos valores referentes à Taxa de Reserva de Pauta em caso do cancelamento da mesma por parte do produtor;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Termo de Compromisso e Responsabilidade de Uso deverá ser assinado com antecedência mínima de 60 dias da realização do espetáculo;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Apenas pessoas jurídicas (Produtoras de Eventos ou empresas que detenham em seu contrato social alguma cláusula referente a produção de eventos) são autorizada a assinar o Termo de Compromisso e Responsabilidade de Uso;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Informamos que a venda ou a distribuição dos ingressos, montagem e ensaio só serão autorizados após a assinatura do Termo;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Fica reservada para a produção dos espetáculos a seguinte quantidade de vagas no estacionamento TCA durante a realização do espetáculo: Sala Principal: 05 Vagas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COMPROMISSADO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(Produtora do Evento) é responsável pela contratação de Serviço Médico de Pronto Atendimento ao público do espetáculo;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Teatro Castro Alves dispõe de suporte de grupo gerador de energia apenas para luzes de emergência somente na Sala Principa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Sugere-se ao COMPROMISSADO a contratação de 1 (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um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) Gerador de energia com c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have reversora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para suporte à sonorização e à iluminação do evento. A relação dos equipamentos de som e luz que poderão ser disponibilizadas para os eventos, deverá ser conferida junto a Gerência Técnica deste Teatro;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TCA tem o direito de expor a marca/nome de seus mantenedores para fins publicitários, nos espaços do complexo do Teatro Castro Alves, inclusive com a projeção de duas vinhetas, de 60 segundos cada, antes do início dos espetáculos da pauta da Sala Principa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Produtor deve se articular com a Assessoria de Comunicação do TCA quanto aos trâmites de divulgação do evento, inclusive do agendamento de instalação de banner nos espaços disponíveis, conforme a disponibilidade a ser consultada. Verificar as orientações constantes no documento “TCA Orientações de comunicação ao produtor”. Contatos: 71 3117-4832 e ascom.tca@gmail.com;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Este formulário deverá ser entregue ao setor de Contratos/TCA junto com o comprovante de pagamento da Taxa de Reserva de Pauta com antecedência mínima de 50 dias do evento.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14. ORIENTAÇÕES DA ASSESSORIA DE COMUNICAÇÃO (ASCOM)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vertAlign w:val="baseline"/>
                <w:rtl w:val="0"/>
              </w:rPr>
              <w:t xml:space="preserve"> *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vertAlign w:val="baseline"/>
                <w:rtl w:val="0"/>
              </w:rPr>
              <w:t xml:space="preserve">FAVOR LER COM ATENÇÃO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1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MARCAS DO TCA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Realizações apoiadas pelo Teatro Castro Alves (TCA), ou a ele vinculadas, têm como contrapartida obrigatória o crédito em todas as peças gráficas e textos oficiais, sob chancela de “Apoio” ou similares. A marca do TCA deve ser utilizada acompanhada em régua indivisível das marcas das instituições à qual o equipamento é vinculado: Fundação Cultural do Estado da Bahia (Funceb), Secretaria de Cultura e Governo do Estado da Bahia. A marca isolada do TCA poderá ser usada apenas em casos especiais, afinados e aprovados pela Ascom. Todo material que fizer uso da marca do TCA deve ser submetido à aprovação antes de ser divulgado.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Os arquivos de marcas podem ser encontrados em: http://www.tca.ba.gov.br/content/marcas.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CONTATO COM A ASCOM TCA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 partir do momento em que seu evento estiver confirmado para realização nos espaços do TCA, é do interesse mútuo mantermos contato, para todas as ações de comunicação que se desdobram. Para além de disponibilizar material que viabilize o contrato e cadastro de vendas, sugerimos que nos ofertem todos os conteúdos existentes: textos, fotos, vídeos, peças gráficas, materiais para redes sociais etc. O TCA possui uma relação bastante ativa com a imprensa da Bahia e é sempre uma facilidade quando dispomos de material para alimentar os veículos. As redes sociais também engajam um expressivo número de pessoas, e quanto mais conteúdo houver de um evento, mais podemos fazê-lo ressoar. Fale conosco em </w:t>
            </w:r>
            <w:hyperlink r:id="rId17">
              <w:r w:rsidDel="00000000" w:rsidR="00000000" w:rsidRPr="00000000">
                <w:rPr>
                  <w:rFonts w:ascii="Arial" w:cs="Arial" w:eastAsia="Arial" w:hAnsi="Arial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ascom.tca@gmail.com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2.1. IMAGENS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As fotos de divulgação precisam estar em alta resolução e com créditos de autoria, conforme exigido em lei. Elas não devem ter intervenções (escritas, ilustrações e logos por cima, por exemplo), pois isto inviabiliza o uso com a imprensa e nas aplicações no site do TCA.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ideal é obtermos fotos em diferentes formatos – horizontal e vertical –, visto que os veículos e sites têm aplicações diferenciadas.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Cards e peças de divulgação dos eventos são muito bem-vindos, mas não podem ser as únicas imagens disponibilizadas. Eles não são adaptáveis para todos nossos canais de comunicação, especialmente para destaque na página principal do site do TCA.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Imagens criadas para redes sociais são essenciais para nosso compartilhamento. Disponibilizem cards, vídeos, gifs e o que mais estiver disponível para amplo uso.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after="0" w:line="240" w:lineRule="auto"/>
              <w:ind w:left="709" w:firstLine="0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2.2. TEXTOS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release precisa ter o máximo de informações sobre o evento e artista(s) envolvidos. Evitem sinopses pontuais e textos pouco descritivos.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As publicações no site do TCA e nos canais de venda devem dar clareza ao público sobre o evento ao qual se pretende assistir. Busquem incluir informações objetivas que devem ser do conhecimento dos espectadores.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Por outro lado, atentar para o fato de que, para além de comunicação com imprensa e profissionais de comunicação, o release encaminhado alimentará o site do TCA e a página de vendas online, para o grande público. Assim, o texto deve ser objetivo, simples, de fácil leitura e com volume adequado de conteúdo.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release deve incluir a classificação indicativa do evento.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firstLine="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2.3. ASSESSORIA DE IMPRENSA, ATENDIMENTO À IMPRENSA E CREDENCIAMENTO DE JORNALISTAS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É de responsabilidade de cada produção a assessoria de imprensa de seu evento.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 Ascom do TCA estará sempre atuando para estimular e facilitar a interlocução entre os veículos de imprensa e as produções dos eventos, mas não responderá quanto à produção e disponibilização de conteúdos, follow, marcação de entrevistas, credenciamento para cobertura etc.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Assim, é essencial que as produções indiquem contatos diretos das assessorias de imprensa de seus eventos, de modo que possamos informá-los à imprensa quando formos acionados pelos veículos, o que é bastante frequente.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credenciamento de veículos/profissionais para a cobertura dos eventos é autorizado às assessorias mediante apresentação, até 24 horas antes do evento, da lista de credenciados para a Ascom do TCA, via e-mail ascom.tca@gmail.com. A Ascom articulará a autorização das entradas com a coordenação de cada espaço. A falta do envio será considerada como inexistência de veículos/profissionais credenciados.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credenciamento de veículos/profissionais é exclusivo para efetiva atividade de cobertura do evento. Jornalistas presentes apenas como convidados, fora de serviço, devem ser considerados dentro da cota de convites da produção.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acesso de veículos/jornalistas aos bastidores deve ser negociado, autorizado e regrado pela própria produção.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 cobertura jornalística não deve intervir na fruição do público. Uso de flashes, gravações de sonoras ou entrevistas durante os espetáculos são proibidos e serão interrompidos pela equipe do TCA caso haja tentativas neste sentido.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Noto Sans Symbols" w:cs="Noto Sans Symbols" w:eastAsia="Noto Sans Symbols" w:hAnsi="Noto Sans Symbols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spacing w:after="0" w:line="240" w:lineRule="auto"/>
              <w:ind w:left="1276" w:firstLine="0"/>
              <w:rPr>
                <w:rFonts w:ascii="Verdana" w:cs="Verdana" w:eastAsia="Verdana" w:hAnsi="Verdana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▪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Na Sala Principal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spacing w:after="0" w:line="240" w:lineRule="auto"/>
              <w:ind w:left="1276" w:firstLine="0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Há áreas reservadas para a atividade de cobertura jornalística, inclusive para montagem de câmeras e equipamentos, onde os profissionais ficam em pé, durante o tempo determinado para a cobertura.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156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Não é autorizada a circulação fora destas áreas durante os espetáculos. Os credenciados devem permanecer na área reservada.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156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credenciamento não reserva poltrona para os profissionais autorizados. Eles devem executar seu trabalho nas áreas reservadas e se retirar em seguida.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560" w:hanging="10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Caso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a produção queira oferecer poltronas para jornalistas, acompanhantes e convidados, deverá fazer uso da cota de convites prevista em contrato.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CLASSIFICAÇÃO INDICATIVA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Todo evento cultural público deve cumprir a exigência legal de informar a sua classificação indicativa, em textos e peças gráficas (digitais e/ou impressas), ainda que seja de classificação livre. Em peças gráficas, isto pode constar textualmente ou com uso dos símbolos recomendados (baixe em http://bit.ly/simbolosclassificacao).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Segundo Ministério da Justiça, a classificação indicativa é uma informação prestada às famílias sobre a faixa etária para a qual obras/espetáculos/eventos não se recomendam. É prezado notar, no entanto, que a classificação indicativa, como o próprio nome diz, é uma indicação, e não um veto. Indivíduos maiores de idade têm autonomia de decidir pela autorização da entrada de menores da idade recomendada sobre os quais tenham responsabilidade, contanto que comprovem a filiação devida com apresentação de documentos válidos.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MEGABANNERS – TOTENS DA ENTRADA PRINCIPAL DO TCA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 TCA possui quatro totens publicitários na sua área externa, para instalação de megabanners, e estão, sempre que possível, à disposição para divulgação dos eventos realizados no Complexo, prioritariamente na Sala Principal e na Concha Acústica.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Essa é uma cortesia do TCA, sem custo extra ao produtor. No entanto, é importante ressaltar que não se trata de direito adquirido do contratante, tampouco há obrigatoriedade de atendimento por parte do TCA, que não se dispõe a ser exigido quanto ao tema e tem plena autonomia para definir reservas e inclusive mudanças de cronogramas, se necessário. Vale ainda observar que a prioridade de utilização do espaço é do TCA, suas produções e corpos artísticos.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Como a quantidade de totens é limitada e o TCA abriga uma média de 20 eventos por mês, existem regras básicas para seu uso, para que possamos ser o mais disponíveis para atendimento de todos. Pedimos que, ao assinar o contrato, faça de imediato contato com a Ascom, solicitando a pré-reserva de totem, que está sujeita à disponibilidade, através do e-mail: ascom.tca@gmail.com.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Em contrapartida, solicitamos que o megabanner, após sua devida utilização, seja doado para o teatro, que reaproveitará o material através do Centro Técnico.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Cada totem mede 2,50m x 6,00m. O banner deve ser produzido em lona, com as medidas de 2,46m x 5,96m, para perfeito ajuste na estrutura. O acabamento da lona deve ser em ilhós.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2. Os quatro totens estão numeradores de 1 a 4, da esquerda para a direita;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3. Cada evento ocupa apenas um dos totens, em ordem de disponibilidade e conforme o agendamento e orientações a serem confirmadas no momento da instalação;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4. Após solicitação de reserva, a equipe da Ascom avaliará a disponibilidade e,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havendo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vaga, enviará, através de e-mail, o pré-agendamento, assim como as orientações necessárias. Na proximidade da instalação, a Ascom entrará em contato para confirmação final. A falta de resposta será considerada como desistência;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5. O prazo padrão de permanência no totem é de sete dias, mas, a depender das demandas, podem ser determinados períodos mais curtos e também mais longos. Qualquer necessidade de mais dias será tratada como exceção e deve ser alinhada com a Ascom;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6. É de responsabilidade da produção do evento exigir que a empresa responsável pela instalação do megabanner forneça e cobre de seu colaborador a utilização dos equipamentos de proteção individual (EPIs). Visando garantir mais segurança, somente é autorizado que um funcionário suba na estrutura do totem durante a instalação da lona;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7. Cabe à produção seguinte a retirada do megabanner anterior, o qual deverá ser enrolado em tubo (não dobrado), para o melhor aproveitamento e preservação do material, e entregue à Ascom. Esse alinhamento deverá ser feito com a empresa responsável pela instalação;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8. Em caso de atraso, desistência ou qualquer imprevisto, pedimos que a equipe da Ascom seja avisada com, pelo menos, 72h de antecedência.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BANNERS – ESTRUTURAS DA ESPLANADA / SALA DO CORO DO TCA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O TCA possui três estruturas de ferro, apelidadas de “carrinhos”, que se espalham na Esplanada do TCA, que dá acesso à Sala do Coro e à Concha Acústica. Elas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possibilitam a instalação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de banners publicitários e estão, sempre que possível, à disposição para divulgação dos eventos realizados no Complexo, prioritariamente na Sala do Coro.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Essa é uma cortesia do TCA, sem custo extra ao produtor. No entanto, é importante ressaltar que não se trata de direito adquirido do contratante, tampouco há obrigatoriedade de atendimento por parte do TCA, que não se dispõe a ser exigido quanto ao tema e tem plena autonomia para definir reservas e inclusive mudanças de cronogramas, se necessário. Vale ainda observar que a prioridade de utilização do espaço é do TCA, suas produções e corpos artísticos.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Pedimos que, ao assinar o contrato, faça de imediato contato com a Ascom, solicitando a pré-reserva, que está sujeita à disponibilidade, através do e-mail: ascom.tca@gmail.com.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Em contrapartida, solicitamos que o banner, após sua devida utilização, seja doado para o teatro, que reaproveitará o material através do Centro Técnico.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1. Cada estrutura mede 1,35m x 1,66m. O banner deve ser produzido em lona, nestas medidas. O acabamento da lona deve ser em ilhós;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2. Os seis espaços estão numeradores de 1 a 6;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3. Cada evento ocupa apenas um dos “carrinhos”, em ordem de disponibilidade e conforme o agendamento e orientações a serem confirmadas no momento da instalação;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spacing w:after="18" w:line="240" w:lineRule="auto"/>
              <w:jc w:val="both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4. Após solicitação de reserva, a equipe da Ascom avaliará a disponibilidade e,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havendo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vaga, enviará, através de e-mail, o pré-agendamento, assim como as orientações necessárias. Na proximidade da instalação, a Ascom entrará em contato para confirmação final. A falta de resposta será considerada como desistência;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spacing w:after="18" w:line="240" w:lineRule="auto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5. O prazo padrão de permanência é de sete dias, mas, a depender das demandas, podem ser determinados períodos mais curtos e também mais longos. Qualquer necessidade de mais dias será tratada como exceção e deve ser alinhada com a Ascom;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spacing w:after="18" w:line="240" w:lineRule="auto"/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6. Cabe à produção seguinte a retirada do banner anterior, o qual deverá ser enrolado em tubo (não dobrado), para o melhor aproveitamento e preservação do material, e entregue à Ascom. Esse alinhamento deverá ser feito com a empresa responsável pela instalação;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7. Em caso de atraso, desistência ou qualquer imprevisto, pedimos que a equipe da Ascom seja avisada com, pelo menos, 72h de antecedência.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E">
      <w:pPr>
        <w:spacing w:after="0" w:line="240" w:lineRule="auto"/>
        <w:rPr>
          <w:rFonts w:ascii="Verdana" w:cs="Verdana" w:eastAsia="Verdana" w:hAnsi="Verdana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709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2">
    <w:lvl w:ilvl="0">
      <w:start w:val="6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caixa.gov.br" TargetMode="External"/><Relationship Id="rId10" Type="http://schemas.openxmlformats.org/officeDocument/2006/relationships/hyperlink" Target="http://www.receita.fazenda.gov.br" TargetMode="External"/><Relationship Id="rId13" Type="http://schemas.openxmlformats.org/officeDocument/2006/relationships/hyperlink" Target="http://www.dataprev.gov.br" TargetMode="External"/><Relationship Id="rId12" Type="http://schemas.openxmlformats.org/officeDocument/2006/relationships/hyperlink" Target="http://www.receita.fazenda.gov.b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ontratostca@gmail.com" TargetMode="External"/><Relationship Id="rId15" Type="http://schemas.openxmlformats.org/officeDocument/2006/relationships/hyperlink" Target="http://www.sefaz.ba.gov.br" TargetMode="External"/><Relationship Id="rId14" Type="http://schemas.openxmlformats.org/officeDocument/2006/relationships/hyperlink" Target="http://www.tst.jus.br" TargetMode="External"/><Relationship Id="rId17" Type="http://schemas.openxmlformats.org/officeDocument/2006/relationships/hyperlink" Target="mailto:ascom.tca@gmail.com" TargetMode="External"/><Relationship Id="rId16" Type="http://schemas.openxmlformats.org/officeDocument/2006/relationships/hyperlink" Target="http://www.sefaz.salvador.ba.gov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contratos@tca.ba.gov.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+7HUdLFg8g5utic8H9cbpOzfqQ==">CgMxLjA4AHIhMU9Ta01oeDFYUkdfREw0R0FCbE5NMnVHcWVsdXFkNGlu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