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9E" w:rsidRDefault="009961F9">
      <w:pPr>
        <w:pStyle w:val="normal0"/>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10 - MODELO DE TERMO DE COLABORAÇÃO</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right"/>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Deve ser inserido o Modelo de Termo de Colaboração, anexo da Instrução Normativa nº__, que orienta os órgãos e entidades da Administração Pública do Poder Executivo Estadual sobre a Seleção de Organizações da Sociedade Civil e Celebração de Parcerias, em conformidade com a Lei nº 13.019/2014 e Decreto Estadual 17.091/2016.</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DE COLABORAÇÃO Nº. ___/__ QUE ENTRE SI CELEBRAM O ESTADO DA BAHIA, ATRAVÉS DA ____________ E A(O) __________ , ORGANIZAÇÃO DA SOCIEDADE CIVIL – OSC.</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b/>
          <w:sz w:val="24"/>
          <w:szCs w:val="24"/>
        </w:rPr>
        <w:t>ESTADO DA BAHIA</w:t>
      </w:r>
      <w:r>
        <w:rPr>
          <w:rFonts w:ascii="Times New Roman" w:eastAsia="Times New Roman" w:hAnsi="Times New Roman" w:cs="Times New Roman"/>
          <w:sz w:val="24"/>
          <w:szCs w:val="24"/>
        </w:rPr>
        <w:t xml:space="preserve">, por intermédio da _____________ </w:t>
      </w:r>
      <w:r>
        <w:rPr>
          <w:rFonts w:ascii="Times New Roman" w:eastAsia="Times New Roman" w:hAnsi="Times New Roman" w:cs="Times New Roman"/>
          <w:color w:val="808080"/>
          <w:sz w:val="24"/>
          <w:szCs w:val="24"/>
        </w:rPr>
        <w:t>[órgão ou entidade da administração pública]</w:t>
      </w:r>
      <w:r>
        <w:rPr>
          <w:rFonts w:ascii="Times New Roman" w:eastAsia="Times New Roman" w:hAnsi="Times New Roman" w:cs="Times New Roman"/>
          <w:sz w:val="24"/>
          <w:szCs w:val="24"/>
        </w:rPr>
        <w:t xml:space="preserve">, CNPJ nº ___________, situada à ________________, neste ato representada pelo seu titular _________, autorizado pelo Decreto nº______, publicado no D.O.E. de ___/___/___, e a(o) _____________ </w:t>
      </w:r>
      <w:r>
        <w:rPr>
          <w:rFonts w:ascii="Times New Roman" w:eastAsia="Times New Roman" w:hAnsi="Times New Roman" w:cs="Times New Roman"/>
          <w:color w:val="808080"/>
          <w:sz w:val="24"/>
          <w:szCs w:val="24"/>
        </w:rPr>
        <w:t>[nome da Organização da Sociedade Civil celebrante]</w:t>
      </w:r>
      <w:r>
        <w:rPr>
          <w:rFonts w:ascii="Times New Roman" w:eastAsia="Times New Roman" w:hAnsi="Times New Roman" w:cs="Times New Roman"/>
          <w:sz w:val="24"/>
          <w:szCs w:val="24"/>
        </w:rPr>
        <w:t xml:space="preserve">, CNPJ nº______, Inscrição Estadual nº ________, Inscrição Municipal nº ________, situado à ________________, com _____________ </w:t>
      </w:r>
      <w:r>
        <w:rPr>
          <w:rFonts w:ascii="Times New Roman" w:eastAsia="Times New Roman" w:hAnsi="Times New Roman" w:cs="Times New Roman"/>
          <w:color w:val="808080"/>
          <w:sz w:val="24"/>
          <w:szCs w:val="24"/>
        </w:rPr>
        <w:t>[Estatuto/Regimento]</w:t>
      </w:r>
      <w:r>
        <w:rPr>
          <w:rFonts w:ascii="Times New Roman" w:eastAsia="Times New Roman" w:hAnsi="Times New Roman" w:cs="Times New Roman"/>
          <w:sz w:val="24"/>
          <w:szCs w:val="24"/>
        </w:rPr>
        <w:t xml:space="preserve"> arquivado em __/__/_____, no Cartório de Registro de Títulos e Documentos ______________ [nome do Cartório e município] sob nº ____, do __ </w:t>
      </w:r>
      <w:r>
        <w:rPr>
          <w:rFonts w:ascii="Times New Roman" w:eastAsia="Times New Roman" w:hAnsi="Times New Roman" w:cs="Times New Roman"/>
          <w:color w:val="808080"/>
          <w:sz w:val="24"/>
          <w:szCs w:val="24"/>
        </w:rPr>
        <w:t>[número]</w:t>
      </w:r>
      <w:r>
        <w:rPr>
          <w:rFonts w:ascii="Times New Roman" w:eastAsia="Times New Roman" w:hAnsi="Times New Roman" w:cs="Times New Roman"/>
          <w:sz w:val="24"/>
          <w:szCs w:val="24"/>
        </w:rPr>
        <w:t xml:space="preserve"> Registro Civil de Pessoas Jurídicas de                -              ,livro _____,  fls. de __ a __, sob o nº ______, selecionada por meio do Chamamento Público nº _____, Processo Administrativo nº _____, neste ato representada pelo Sr(s). ______________, portador(es) do(s) documento(s) de identidade nº ________, emitido(s) por ______, inscrito(s) no CPF/MF sob o nº ____________, doravante denominada </w:t>
      </w:r>
      <w:r>
        <w:rPr>
          <w:rFonts w:ascii="Times New Roman" w:eastAsia="Times New Roman" w:hAnsi="Times New Roman" w:cs="Times New Roman"/>
          <w:b/>
          <w:sz w:val="24"/>
          <w:szCs w:val="24"/>
        </w:rPr>
        <w:t>OSC CELEBRANTE</w:t>
      </w:r>
      <w:r>
        <w:rPr>
          <w:rFonts w:ascii="Times New Roman" w:eastAsia="Times New Roman" w:hAnsi="Times New Roman" w:cs="Times New Roman"/>
          <w:sz w:val="24"/>
          <w:szCs w:val="24"/>
        </w:rPr>
        <w:t>, formaliza o presente Termo de Colaboração, que se regerá pela Lei nº. 13.019/2014, que regulamenta o regime jurídico das parcerias entre a administração pública e as Organizações da Sociedade Civil, e pelo Decreto Estadual nº. 17.091/2016, mediante as cláusulas e condições discriminadas.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0"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Excluir a menção ao Chamamento Público na hipótese em que a norma dispensar esse procedimento. Sobre as causas que excepcionam o chamamento público, ver os arts. 30 a 32 da Lei n.º 13.019/2014.</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PRIMEIRA – OBJETO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Constitui objeto do presente Termo de Colaboração ______________________________ </w:t>
      </w:r>
      <w:r>
        <w:rPr>
          <w:rFonts w:ascii="Times New Roman" w:eastAsia="Times New Roman" w:hAnsi="Times New Roman" w:cs="Times New Roman"/>
          <w:color w:val="808080"/>
          <w:sz w:val="24"/>
          <w:szCs w:val="24"/>
        </w:rPr>
        <w:t>[descrever a atividade ou projeto objeto da parceria]</w:t>
      </w:r>
      <w:r>
        <w:rPr>
          <w:rFonts w:ascii="Times New Roman" w:eastAsia="Times New Roman" w:hAnsi="Times New Roman" w:cs="Times New Roman"/>
          <w:sz w:val="24"/>
          <w:szCs w:val="24"/>
        </w:rPr>
        <w:t xml:space="preserve">, conforme detalhado no Plano de Trabalho, ANEXO I, a ser realizado no(a) ____________________ </w:t>
      </w:r>
      <w:r>
        <w:rPr>
          <w:rFonts w:ascii="Times New Roman" w:eastAsia="Times New Roman" w:hAnsi="Times New Roman" w:cs="Times New Roman"/>
          <w:color w:val="808080"/>
          <w:sz w:val="24"/>
          <w:szCs w:val="24"/>
        </w:rPr>
        <w:t>[descrever local onde será realizado, quando for o caso]</w:t>
      </w:r>
      <w:r>
        <w:rPr>
          <w:rFonts w:ascii="Times New Roman" w:eastAsia="Times New Roman" w:hAnsi="Times New Roman" w:cs="Times New Roman"/>
          <w:sz w:val="24"/>
          <w:szCs w:val="24"/>
        </w:rPr>
        <w:t>.</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ÚNICO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Faz parte integrante deste Termo de Colaboração: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I – Plano de Trabalho;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ANEXO II – Relação de Bens  e Serviços a Título de Contrapartida </w:t>
      </w:r>
      <w:r>
        <w:rPr>
          <w:rFonts w:ascii="Times New Roman" w:eastAsia="Times New Roman" w:hAnsi="Times New Roman" w:cs="Times New Roman"/>
          <w:color w:val="808080"/>
          <w:sz w:val="24"/>
          <w:szCs w:val="24"/>
        </w:rPr>
        <w:t>[quando houver]</w:t>
      </w:r>
      <w:r>
        <w:rPr>
          <w:rFonts w:ascii="Times New Roman" w:eastAsia="Times New Roman" w:hAnsi="Times New Roman" w:cs="Times New Roman"/>
          <w:sz w:val="24"/>
          <w:szCs w:val="24"/>
        </w:rPr>
        <w:t>;</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O parágrafo único somente deve ser inserido quando houver necessidade de juntar o Anexo II, pois a Cláusula Primeira já faz referência ao Plano de Trabalho.</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SEGUNDA – VIGÊNCIA</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prazo de vigência deste Termo de Colaboração será de _____( ______) </w:t>
      </w:r>
      <w:r>
        <w:rPr>
          <w:rFonts w:ascii="Times New Roman" w:eastAsia="Times New Roman" w:hAnsi="Times New Roman" w:cs="Times New Roman"/>
          <w:color w:val="808080"/>
          <w:sz w:val="24"/>
          <w:szCs w:val="24"/>
        </w:rPr>
        <w:t>[meses/anos]</w:t>
      </w:r>
      <w:r>
        <w:rPr>
          <w:rFonts w:ascii="Times New Roman" w:eastAsia="Times New Roman" w:hAnsi="Times New Roman" w:cs="Times New Roman"/>
          <w:sz w:val="24"/>
          <w:szCs w:val="24"/>
        </w:rPr>
        <w:t xml:space="preserve"> contados a partir da data de sua assinatura, podendo ser prorrogado por até ___ (______) </w:t>
      </w:r>
      <w:r>
        <w:rPr>
          <w:rFonts w:ascii="Times New Roman" w:eastAsia="Times New Roman" w:hAnsi="Times New Roman" w:cs="Times New Roman"/>
          <w:color w:val="808080"/>
          <w:sz w:val="24"/>
          <w:szCs w:val="24"/>
        </w:rPr>
        <w:t>[meses/anos]</w:t>
      </w:r>
      <w:r>
        <w:rPr>
          <w:rFonts w:ascii="Times New Roman" w:eastAsia="Times New Roman" w:hAnsi="Times New Roman" w:cs="Times New Roman"/>
          <w:sz w:val="24"/>
          <w:szCs w:val="24"/>
        </w:rPr>
        <w:t xml:space="preserve">, mediante termo aditivo. </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TERCEIRA – REPASSE E APLICAÇÃO DOS RECURSOS FINANCEIROS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540"/>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Pela execução do objeto deste Termo de Colaboração, a(o) __________________ </w:t>
      </w:r>
      <w:r>
        <w:rPr>
          <w:rFonts w:ascii="Times New Roman" w:eastAsia="Times New Roman" w:hAnsi="Times New Roman" w:cs="Times New Roman"/>
          <w:color w:val="808080"/>
          <w:sz w:val="24"/>
          <w:szCs w:val="24"/>
        </w:rPr>
        <w:t>[órgão ou entidade da administração pública]</w:t>
      </w:r>
      <w:r>
        <w:rPr>
          <w:rFonts w:ascii="Times New Roman" w:eastAsia="Times New Roman" w:hAnsi="Times New Roman" w:cs="Times New Roman"/>
          <w:sz w:val="24"/>
          <w:szCs w:val="24"/>
        </w:rPr>
        <w:t xml:space="preserve"> repassará à _____________________ </w:t>
      </w:r>
      <w:r>
        <w:rPr>
          <w:rFonts w:ascii="Times New Roman" w:eastAsia="Times New Roman" w:hAnsi="Times New Roman" w:cs="Times New Roman"/>
          <w:color w:val="808080"/>
          <w:sz w:val="24"/>
          <w:szCs w:val="24"/>
        </w:rPr>
        <w:t>[Nome da OSC Celebrante]</w:t>
      </w:r>
      <w:r>
        <w:rPr>
          <w:rFonts w:ascii="Times New Roman" w:eastAsia="Times New Roman" w:hAnsi="Times New Roman" w:cs="Times New Roman"/>
          <w:sz w:val="24"/>
          <w:szCs w:val="24"/>
        </w:rPr>
        <w:t>, no prazo e condições constantes deste instrumento a importância global estimada em R$__________ (_____________), de acordo com o cronograma de desembolso, constante do Plano de Trabalho, Anexo I, por conta dos recursos da Dotação Orçamentária a seguir especificada:</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tbl>
      <w:tblPr>
        <w:tblStyle w:val="affb"/>
        <w:tblW w:w="9084" w:type="dxa"/>
        <w:jc w:val="center"/>
        <w:tblInd w:w="0" w:type="dxa"/>
        <w:tblLayout w:type="fixed"/>
        <w:tblLook w:val="0000"/>
      </w:tblPr>
      <w:tblGrid>
        <w:gridCol w:w="2664"/>
        <w:gridCol w:w="1980"/>
        <w:gridCol w:w="2265"/>
        <w:gridCol w:w="2175"/>
      </w:tblGrid>
      <w:tr w:rsidR="00645C9E">
        <w:trPr>
          <w:cantSplit/>
          <w:trHeight w:val="227"/>
          <w:tblHeader/>
          <w:jc w:val="center"/>
        </w:trPr>
        <w:tc>
          <w:tcPr>
            <w:tcW w:w="2664" w:type="dxa"/>
            <w:tcBorders>
              <w:top w:val="single" w:sz="4" w:space="0" w:color="000000"/>
              <w:left w:val="single" w:sz="4" w:space="0" w:color="000000"/>
              <w:bottom w:val="single" w:sz="4" w:space="0" w:color="000000"/>
            </w:tcBorders>
            <w:vAlign w:val="center"/>
          </w:tcPr>
          <w:p w:rsidR="00645C9E" w:rsidRDefault="009961F9">
            <w:pPr>
              <w:pStyle w:val="normal0"/>
              <w:spacing w:line="240" w:lineRule="auto"/>
              <w:ind w:left="141" w:right="-433"/>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UNIDADE GESTORA</w:t>
            </w:r>
          </w:p>
        </w:tc>
        <w:tc>
          <w:tcPr>
            <w:tcW w:w="1980" w:type="dxa"/>
            <w:tcBorders>
              <w:top w:val="single" w:sz="4" w:space="0" w:color="000000"/>
              <w:left w:val="single" w:sz="4" w:space="0" w:color="000000"/>
              <w:bottom w:val="single" w:sz="4" w:space="0" w:color="000000"/>
            </w:tcBorders>
            <w:vAlign w:val="center"/>
          </w:tcPr>
          <w:p w:rsidR="00645C9E" w:rsidRDefault="009961F9">
            <w:pPr>
              <w:pStyle w:val="normal0"/>
              <w:spacing w:line="240" w:lineRule="auto"/>
              <w:ind w:right="-433"/>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FONTE</w:t>
            </w:r>
          </w:p>
        </w:tc>
        <w:tc>
          <w:tcPr>
            <w:tcW w:w="2265" w:type="dxa"/>
            <w:tcBorders>
              <w:top w:val="single" w:sz="4" w:space="0" w:color="000000"/>
              <w:left w:val="single" w:sz="4" w:space="0" w:color="000000"/>
              <w:bottom w:val="single" w:sz="4" w:space="0" w:color="000000"/>
            </w:tcBorders>
            <w:vAlign w:val="center"/>
          </w:tcPr>
          <w:p w:rsidR="00645C9E" w:rsidRDefault="009961F9">
            <w:pPr>
              <w:pStyle w:val="normal0"/>
              <w:spacing w:line="240" w:lineRule="auto"/>
              <w:ind w:left="141" w:right="-433"/>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PROJETO/</w:t>
            </w:r>
          </w:p>
          <w:p w:rsidR="00645C9E" w:rsidRDefault="009961F9">
            <w:pPr>
              <w:pStyle w:val="normal0"/>
              <w:spacing w:line="240" w:lineRule="auto"/>
              <w:ind w:left="141" w:right="-433"/>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ATIVIDADE</w:t>
            </w:r>
          </w:p>
        </w:tc>
        <w:tc>
          <w:tcPr>
            <w:tcW w:w="2175" w:type="dxa"/>
            <w:tcBorders>
              <w:top w:val="single" w:sz="4" w:space="0" w:color="000000"/>
              <w:left w:val="single" w:sz="4" w:space="0" w:color="000000"/>
              <w:bottom w:val="single" w:sz="4" w:space="0" w:color="000000"/>
              <w:right w:val="single" w:sz="4" w:space="0" w:color="000000"/>
            </w:tcBorders>
            <w:vAlign w:val="center"/>
          </w:tcPr>
          <w:p w:rsidR="00645C9E" w:rsidRDefault="009961F9">
            <w:pPr>
              <w:pStyle w:val="normal0"/>
              <w:spacing w:line="240" w:lineRule="auto"/>
              <w:ind w:left="141" w:right="-433"/>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ELEMENTO DE DESPESA</w:t>
            </w:r>
          </w:p>
        </w:tc>
      </w:tr>
      <w:tr w:rsidR="00645C9E">
        <w:trPr>
          <w:cantSplit/>
          <w:trHeight w:val="334"/>
          <w:tblHeader/>
          <w:jc w:val="center"/>
        </w:trPr>
        <w:tc>
          <w:tcPr>
            <w:tcW w:w="2664" w:type="dxa"/>
            <w:tcBorders>
              <w:top w:val="single" w:sz="4" w:space="0" w:color="000000"/>
              <w:left w:val="single" w:sz="4" w:space="0" w:color="000000"/>
              <w:bottom w:val="single" w:sz="4" w:space="0" w:color="000000"/>
            </w:tcBorders>
            <w:vAlign w:val="center"/>
          </w:tcPr>
          <w:p w:rsidR="00645C9E" w:rsidRDefault="00645C9E">
            <w:pPr>
              <w:pStyle w:val="normal0"/>
              <w:spacing w:line="240" w:lineRule="auto"/>
              <w:ind w:left="-141" w:right="-433"/>
              <w:jc w:val="center"/>
              <w:rPr>
                <w:rFonts w:ascii="Times New Roman" w:eastAsia="Times New Roman" w:hAnsi="Times New Roman" w:cs="Times New Roman"/>
                <w:b/>
                <w:smallCaps/>
                <w:sz w:val="24"/>
                <w:szCs w:val="24"/>
              </w:rPr>
            </w:pPr>
          </w:p>
        </w:tc>
        <w:tc>
          <w:tcPr>
            <w:tcW w:w="1980" w:type="dxa"/>
            <w:tcBorders>
              <w:top w:val="single" w:sz="4" w:space="0" w:color="000000"/>
              <w:left w:val="single" w:sz="4" w:space="0" w:color="000000"/>
              <w:bottom w:val="single" w:sz="4" w:space="0" w:color="000000"/>
            </w:tcBorders>
            <w:vAlign w:val="center"/>
          </w:tcPr>
          <w:p w:rsidR="00645C9E" w:rsidRDefault="00645C9E">
            <w:pPr>
              <w:pStyle w:val="normal0"/>
              <w:spacing w:line="240" w:lineRule="auto"/>
              <w:ind w:left="-141" w:right="-433"/>
              <w:jc w:val="center"/>
              <w:rPr>
                <w:rFonts w:ascii="Times New Roman" w:eastAsia="Times New Roman" w:hAnsi="Times New Roman" w:cs="Times New Roman"/>
                <w:smallCaps/>
                <w:sz w:val="24"/>
                <w:szCs w:val="24"/>
              </w:rPr>
            </w:pPr>
          </w:p>
        </w:tc>
        <w:tc>
          <w:tcPr>
            <w:tcW w:w="2265" w:type="dxa"/>
            <w:tcBorders>
              <w:top w:val="single" w:sz="4" w:space="0" w:color="000000"/>
              <w:left w:val="single" w:sz="4" w:space="0" w:color="000000"/>
              <w:bottom w:val="single" w:sz="4" w:space="0" w:color="000000"/>
            </w:tcBorders>
            <w:vAlign w:val="center"/>
          </w:tcPr>
          <w:p w:rsidR="00645C9E" w:rsidRDefault="00645C9E">
            <w:pPr>
              <w:pStyle w:val="normal0"/>
              <w:spacing w:line="240" w:lineRule="auto"/>
              <w:ind w:left="-141" w:right="-433"/>
              <w:jc w:val="center"/>
              <w:rPr>
                <w:rFonts w:ascii="Times New Roman" w:eastAsia="Times New Roman" w:hAnsi="Times New Roman" w:cs="Times New Roman"/>
                <w:smallCaps/>
                <w:sz w:val="24"/>
                <w:szCs w:val="24"/>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645C9E" w:rsidRDefault="00645C9E">
            <w:pPr>
              <w:pStyle w:val="normal0"/>
              <w:spacing w:line="240" w:lineRule="auto"/>
              <w:ind w:left="-141" w:right="-433"/>
              <w:jc w:val="center"/>
              <w:rPr>
                <w:rFonts w:ascii="Times New Roman" w:eastAsia="Times New Roman" w:hAnsi="Times New Roman" w:cs="Times New Roman"/>
                <w:smallCaps/>
                <w:sz w:val="24"/>
                <w:szCs w:val="24"/>
              </w:rPr>
            </w:pPr>
          </w:p>
        </w:tc>
      </w:tr>
    </w:tbl>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tabs>
          <w:tab w:val="left" w:pos="9540"/>
        </w:tabs>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PRIMEIRO</w:t>
      </w:r>
    </w:p>
    <w:p w:rsidR="00645C9E" w:rsidRDefault="009961F9">
      <w:pPr>
        <w:pStyle w:val="normal0"/>
        <w:tabs>
          <w:tab w:val="left" w:pos="9540"/>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recursos financeiros transferidos pelo Estado da Bahia para a execução do objeto deste Termo de Colaboração serão movimentados em conta bancária específica e exclusiva no ___________ </w:t>
      </w:r>
      <w:r>
        <w:rPr>
          <w:rFonts w:ascii="Times New Roman" w:eastAsia="Times New Roman" w:hAnsi="Times New Roman" w:cs="Times New Roman"/>
          <w:color w:val="808080"/>
          <w:sz w:val="24"/>
          <w:szCs w:val="24"/>
        </w:rPr>
        <w:t>[nome do Banco]</w:t>
      </w:r>
      <w:r>
        <w:rPr>
          <w:rFonts w:ascii="Times New Roman" w:eastAsia="Times New Roman" w:hAnsi="Times New Roman" w:cs="Times New Roman"/>
          <w:sz w:val="24"/>
          <w:szCs w:val="24"/>
        </w:rPr>
        <w:t>, agência nº. ________, conta corrente nº. ______, vinculada a este termo.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Os recursos recebidos em decorrência da parceria serão depositados em conta corrente específica em instituição financeira pública determinada pela administração pública, conforme previsto no art. 51 da Lei nº 13.019/2014. Observar que compete à administração pública definir a instituição bancária, na qual será aberta conta para o instrumento da parceria.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540"/>
        </w:tabs>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SEGUNDO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rendimentos de ativos financeiros serão aplicados no objeto da parceria, mediante termo aditivo, estando sujeitos às mesmas condições de prestação de contas exigidas para os recursos transferidos.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540"/>
        </w:tabs>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TERCEIRO</w:t>
      </w:r>
    </w:p>
    <w:p w:rsidR="00645C9E" w:rsidRDefault="009961F9">
      <w:pPr>
        <w:pStyle w:val="normal0"/>
        <w:tabs>
          <w:tab w:val="left" w:pos="9540"/>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540"/>
        </w:tabs>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QUARTO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vedada a utilização dos recursos em finalidade diversa da estabelecida no objeto da parceria a que se refere este instrumento, pagamento de despesas efetuadas anterior ou posterior ao período de vigência deste termo, bem como remunerar, a qualquer título, servidor ou empregado público com recursos vinculados à parceria, salvo nas hipóteses previstas em lei específica e na lei de diretrizes orçamentárias.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540"/>
        </w:tabs>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QUINTO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será permitida a previsão de despesas a título de taxa de administração, de gerência ou similar.</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540"/>
        </w:tabs>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SEXTO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 movimentação de recursos no âmbito da parceria será realizada mediante transferência eletrônica sujeita à identificação do beneficiário final e à obrigatoriedade de depósito em sua conta bancária.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SÉTIMO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Serão admitidos pagamentos em espécie desde que comprovada a impossibilidade física de pagamento mediante transferência bancária, que deverão estar previstos e justificados no plano de </w:t>
      </w:r>
      <w:r>
        <w:rPr>
          <w:rFonts w:ascii="Times New Roman" w:eastAsia="Times New Roman" w:hAnsi="Times New Roman" w:cs="Times New Roman"/>
          <w:sz w:val="24"/>
          <w:szCs w:val="24"/>
        </w:rPr>
        <w:lastRenderedPageBreak/>
        <w:t>trabalho e, nas hipóteses de caso fortuito ou força maior, a OSC deverá justificar os motivos na prestação de contas, os quais serão avaliados pela administração pública.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OITAVO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pagamentos em espécie estarão restritos ao limite por credor de R$_____________ </w:t>
      </w:r>
      <w:r>
        <w:rPr>
          <w:rFonts w:ascii="Times New Roman" w:eastAsia="Times New Roman" w:hAnsi="Times New Roman" w:cs="Times New Roman"/>
          <w:color w:val="808080"/>
          <w:sz w:val="24"/>
          <w:szCs w:val="24"/>
        </w:rPr>
        <w:t>[incluir o valor limite por credor]</w:t>
      </w:r>
      <w:r>
        <w:rPr>
          <w:rFonts w:ascii="Times New Roman" w:eastAsia="Times New Roman" w:hAnsi="Times New Roman" w:cs="Times New Roman"/>
          <w:sz w:val="24"/>
          <w:szCs w:val="24"/>
        </w:rPr>
        <w:t>, levando-se em conta a duração da parceria, não dispensando o registro do credor final da despesa na prestação de contas.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1"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Os dois parágrafos anteriores admitem, em casos excepcionais, a realização de pagamentos em espécie desde que comprovada a impossibilidade física de pagamento mediante transferência bancária, em consonância com o § 2º, art. 53 da Lei nº. 13.019/2014.</w:t>
      </w:r>
    </w:p>
    <w:p w:rsidR="00645C9E" w:rsidRDefault="00645C9E">
      <w:pPr>
        <w:pStyle w:val="normal0"/>
        <w:pBdr>
          <w:top w:val="single" w:sz="4" w:space="1" w:color="000000"/>
          <w:left w:val="single" w:sz="4" w:space="1"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1"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O órgão ou entidade da administração pública decidirá quanto à possibilidade de realização de pagamentos em espécie pela OSC, observando a razoabilidade do montante necessário, estabelecendo no parágrafo acima o limite, em valores monetários, por credor.</w:t>
      </w:r>
    </w:p>
    <w:p w:rsidR="00645C9E" w:rsidRDefault="00645C9E">
      <w:pPr>
        <w:pStyle w:val="normal0"/>
        <w:pBdr>
          <w:top w:val="single" w:sz="4" w:space="1" w:color="000000"/>
          <w:left w:val="single" w:sz="4" w:space="1"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1"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Caso opte por não permitir o pagamento em espécie, os dois parágrafos anteriores deverão ser excluídos</w:t>
      </w:r>
      <w:r>
        <w:rPr>
          <w:rFonts w:ascii="Times New Roman" w:eastAsia="Times New Roman" w:hAnsi="Times New Roman" w:cs="Times New Roman"/>
          <w:sz w:val="24"/>
          <w:szCs w:val="24"/>
        </w:rPr>
        <w:t>.</w:t>
      </w:r>
    </w:p>
    <w:p w:rsidR="00645C9E" w:rsidRDefault="00645C9E">
      <w:pPr>
        <w:pStyle w:val="normal0"/>
        <w:tabs>
          <w:tab w:val="left" w:pos="9540"/>
        </w:tabs>
        <w:spacing w:line="240" w:lineRule="auto"/>
        <w:ind w:left="-141" w:right="286"/>
        <w:jc w:val="both"/>
        <w:rPr>
          <w:rFonts w:ascii="Times New Roman" w:eastAsia="Times New Roman" w:hAnsi="Times New Roman" w:cs="Times New Roman"/>
          <w:b/>
          <w:sz w:val="24"/>
          <w:szCs w:val="24"/>
        </w:rPr>
      </w:pPr>
    </w:p>
    <w:p w:rsidR="00645C9E" w:rsidRDefault="009961F9">
      <w:pPr>
        <w:pStyle w:val="normal0"/>
        <w:tabs>
          <w:tab w:val="left" w:pos="9540"/>
        </w:tabs>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NONO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Poderão ser pagas com recursos vinculados à parceria, entre outras despesas, remuneração de equipe dimensionada no Plano de Trabalho, diárias, custos indiretos, aquisição de equipamentos e materiais permanentes essenciais à consecução do objeto e a contratação de serviços para adequação de espaço físico, observadas as disposições do art. 46 da Lei nº 13.019/2014.</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DÉCIMO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processamento das compras e contratações pela OSC feitas com o uso de recursos financeiros provenientes de parceria deverá observar os princípios da impessoalidade, da economicidade e da eficiência, além de observar o disposto no Art. 21 do Decreto Estadual nº 17.091/2016.</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O art. 21 do Decreto Estadual nº. 17.091/2016 determina que a administração pública disponibilizará sistema para os processos de compras efetuados pela OSC com recursos da parceria.</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Quando for disponibilizado o sistema de compras mencionado,utilizar-se-á as opções de texto a seguir em substituição ao parágrafo acima:</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PARÁGRAFO ______</w:t>
      </w: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O processamento das compras e contratações pela OSC feitas com o uso de recursos financeiros provenientes de parceria será efetuado, preferencialmente, por meio do sistema eletrônico _______________________ </w:t>
      </w:r>
      <w:r>
        <w:rPr>
          <w:rFonts w:ascii="Times New Roman" w:eastAsia="Times New Roman" w:hAnsi="Times New Roman" w:cs="Times New Roman"/>
          <w:color w:val="808080"/>
          <w:sz w:val="24"/>
          <w:szCs w:val="24"/>
          <w:highlight w:val="yellow"/>
        </w:rPr>
        <w:t>[inserir nome do sistema]</w:t>
      </w:r>
      <w:r>
        <w:rPr>
          <w:rFonts w:ascii="Times New Roman" w:eastAsia="Times New Roman" w:hAnsi="Times New Roman" w:cs="Times New Roman"/>
          <w:sz w:val="24"/>
          <w:szCs w:val="24"/>
          <w:highlight w:val="yellow"/>
        </w:rPr>
        <w:t>.</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Quando for disponibilizada a plataforma eletrônica, acrescentar também o parágrafo abaixo:</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PARÁGRAFO ________</w:t>
      </w: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A OSC deverá registrar os dados referentes às despesas realizadas na plataforma eletrônica ______________ </w:t>
      </w:r>
      <w:r>
        <w:rPr>
          <w:rFonts w:ascii="Times New Roman" w:eastAsia="Times New Roman" w:hAnsi="Times New Roman" w:cs="Times New Roman"/>
          <w:color w:val="808080"/>
          <w:sz w:val="24"/>
          <w:szCs w:val="24"/>
          <w:highlight w:val="yellow"/>
        </w:rPr>
        <w:t>[inserir nome da plataforma]</w:t>
      </w:r>
      <w:r>
        <w:rPr>
          <w:rFonts w:ascii="Times New Roman" w:eastAsia="Times New Roman" w:hAnsi="Times New Roman" w:cs="Times New Roman"/>
          <w:sz w:val="24"/>
          <w:szCs w:val="24"/>
          <w:highlight w:val="yellow"/>
        </w:rPr>
        <w:t>.</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DÉCIMO PRIMEIRO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cotações de preços deverão conter a identificação das empresas ou pessoas consultadas, com indicação de endereço, número de telefone e números de inscrição no Cadastro Nacional de Pessoa Jurídica - CNPJ ou Cadastro de Pessoa Física - CPF, de modo a permitir a sua aferição pelos controles interno e externo.</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PARÁGRAFO DÉCIMO SEGUNDO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OSC encaminhará ao Gestor da Parceria cópia das notas fiscais relativas à compra de bens, na prestação de contas final, para incorporação dos mesmos ao patrimônio do Estado.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Caso a parceria não tenha previsão de aquisição de bens, esta cláusula deverá ser excluída.</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O Gestor da parceria deverá observar os procedimentos de controle e destinação de bens permanentes adquiridos com recursos decorrentes de parcerias.</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Se a titularidade do bem for para a administração, o bem deverá ser incorporado ao patrimônio do Estado</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DÉCIMO TERCEIRO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OSC responderá exclusivamente pelo pagamento dos encargos trabalhistas, previdenciários, fiscais e comerciais relacionados à execução do objeto previsto no Termo de Colaboração, não implicando responsabilidade solidária ou subsidiária da administração pública a inadimplência da OSC em relação ao referido pagamento.</w:t>
      </w:r>
    </w:p>
    <w:p w:rsidR="00645C9E" w:rsidRDefault="00645C9E">
      <w:pPr>
        <w:pStyle w:val="normal0"/>
        <w:spacing w:line="240" w:lineRule="auto"/>
        <w:ind w:left="-141" w:right="286"/>
        <w:jc w:val="both"/>
        <w:rPr>
          <w:rFonts w:ascii="Times New Roman" w:eastAsia="Times New Roman" w:hAnsi="Times New Roman" w:cs="Times New Roman"/>
          <w:sz w:val="24"/>
          <w:szCs w:val="24"/>
          <w:highlight w:val="cyan"/>
        </w:rPr>
      </w:pPr>
    </w:p>
    <w:p w:rsidR="00645C9E" w:rsidRDefault="009961F9">
      <w:pPr>
        <w:pStyle w:val="normal0"/>
        <w:tabs>
          <w:tab w:val="left" w:pos="9540"/>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DÉCIMO QUARTO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a vigência deste termo é permitido o remanejamento de recursos de custeio constantes do Plano de Trabalho, desde que não altere o valor total da parceria destinado a custeio, devendo a OSC apresentar justificativa para as eventuais variações.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540"/>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DÉCIMO QUINTO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parcelas dos recursos transferidos no âmbito da parceria não serão liberadas e ficarão retidas nos seguintes casos: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quando houver evidências de irregularidade na aplicação de parcela anteriormente recebida;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quando constatado desvio de finalidade na aplicação dos recursos ou o inadimplemento da OSC em relação a obrigações estabelecidas neste Termo de Colaboração;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quando a OSC deixar de adotar sem justificativa suficiente as medidas saneadoras apontadas pela administração pública ou pelos órgãos de controle interno ou externo;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 quando a OSC deixar de apresentar prestações de contas.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DÉCIMO SEXTO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Serão glosados valores relacionados a metas e resultados descumpridos sem justificativa suficiente, de acordo com os parâmetros abaixo: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Deverão ser transcritos neste Parágrafo os parâmetros de aplicação de glosa definidos pelo órgão ou entidade da administração pública no Termo de Referência. </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QUARTA – CONTRAPARTIDA </w:t>
      </w:r>
      <w:r>
        <w:rPr>
          <w:rFonts w:ascii="Times New Roman" w:eastAsia="Times New Roman" w:hAnsi="Times New Roman" w:cs="Times New Roman"/>
          <w:b/>
          <w:color w:val="808080"/>
          <w:sz w:val="24"/>
          <w:szCs w:val="24"/>
        </w:rPr>
        <w:t>[Se houver]</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OSC se obriga a aplicar na consecução dos fins pactuados por este Termo de Colaboração os bens e serviços dados a título de contrapartida, conforme Anexo II, avaliados no montante de R$___________ (por extenso).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 xml:space="preserve">Caso não seja exigida a contrapartida, a cláusula acima deverá ser excluída. Em caso de chamamento público, observar se o edital expressou tal exigência no item 13 – CONTRAPARTIDA. </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De acordo com o §1º, do art. 35, da Lei nº 13.019/2014, não será exigida contrapartida financeira como requisito para celebração de parceria, facultada a exigência de contrapartida em bens e serviços cuja expressão monetária será obrigatoriamente identificada no Termo de Colaboração ou de fomento.</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A mensuração econômica de bens e serviços, no presente termo, deverá consolidar o valor total da avaliação. No plano de trabalho, deverá ser apresentada relação dos bens e serviços individualmente avaliados.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QUINTA – ALTERAÇÃO DO TERMO DE COLABORAÇÃO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Termo de Colaboração poderá ser alterado a qualquer tempo, a critério da Administração, mediante termo aditivo, sendo vedada a alteração do objeto da parceria.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PRIMEIRO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SEGUNDO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alteração do Termo de Colaboração poderá ensejar a revisão do Plano de Trabalho para alteração de valores ou metas, mediante termo aditivo ao Plano de Trabalho original.</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TERCEIRO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parceria deverá ser alterada mediante apostila, independentemente de anuência da OSC, para: </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indicação dos créditos orçamentários;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alteração do nome do Gestor da Parceria e alteração da Comissão de Monitoramento e Avaliação.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QUARTO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alteração do Termo de Colaboração pressupõe a manifestação prévia da unidade técnica da administração pública a qual se vincula a parceria mediante justificativa por escrito, apreciação jurídica da Procuradoria Geral do Estado ou unidade equivalente e autorização do _________________ </w:t>
      </w:r>
      <w:r>
        <w:rPr>
          <w:rFonts w:ascii="Times New Roman" w:eastAsia="Times New Roman" w:hAnsi="Times New Roman" w:cs="Times New Roman"/>
          <w:color w:val="808080"/>
          <w:sz w:val="24"/>
          <w:szCs w:val="24"/>
        </w:rPr>
        <w:t>[administrador público do órgão ou entidade]</w:t>
      </w:r>
      <w:r>
        <w:rPr>
          <w:rFonts w:ascii="Times New Roman" w:eastAsia="Times New Roman" w:hAnsi="Times New Roman" w:cs="Times New Roman"/>
          <w:sz w:val="24"/>
          <w:szCs w:val="24"/>
        </w:rPr>
        <w:t>.</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QUINTO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Caso haja atraso na liberação dos recursos financeiros, a administração pública promoverá a prorrogação do prazo de vigência do presente Termo de Colaboração, independentemente de proposta da OSC, limitado o prazo de prorrogação ao exato período do atraso verificado.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SEXTA - OBRIGAÇÕES DA OSC CELEBRANTE</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à OSC as seguintes obrigações:</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executar satisfatória e regularmente o objeto deste Termo de Colaboração;</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prestar contas dos recursos recebidos por meio deste Termo de Colaboração;</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manter escrituração contábil regular;</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divulgar na internet e em locais visíveis de suas sedes sociais e dos estabelecimentos em que exerça suas ações todas as parcerias celebradas com o poder público, contendo, no mínimo, as informações requeridas no parágrafo único do art. 11 da Lei nº 13.019/2014;</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manter e movimentar os recursos na conta bancária especifica observado o disposto nos arts. 51 e 53 da Lei nº 13.019/2014;</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devolver à administração pública no prazo improrrogável de trinta dias, os saldos financeiros remanescentes, inclusive os provenientes das receitas obtidas das aplicações financeiras realizadas, por ocasião da conclusão, denúncia, rescisão ou extinção da parceria;</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livre acesso aos agentes da administração pública, ao controle interno e ao Tribunal de Contas correspondente aos processos, aos documentos e às informações relacionadas ao Termo de Colaboração, bem como aos locais de execução do respectivo objeto;</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responder exclusivamente pelo gerenciamento administrativo e financeiro dos recursos recebidos, inclusive no que diz respeito às despesas de investimento e de custeio, inclusive as relativas à pessoal;</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  </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arcar com todo e qualquer dano ou prejuízo de qualquer natureza causado à administração pública e terceiros, por sua culpa, ou em conseqüência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manter, em boa ordem e guarda, à disposição da administração pública e dos órgãos de controle interno e externo, todos os documentos originais que comprovem as despesas realizadas no decorrer da parceria, que deverão ser emitidos em nome da OSC Celebrante, devidamente identificados com o número do Termo de Colaboração durante o prazo de 10 (dez) anos, contado do dia útil subsequente ao da prestação de contas final, ou o prazo que dispuser legislação especifica;</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observar medidas de acessibilidade para pessoas com deficiência ou mobilidade reduzida e idosos;</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celebrar termo de atuação em rede e apresentá-lo à administração pública em até 60 (sessenta) dias da sua celebração, caso opte por esta modalidade, observando o disposto no parágrafo único do art. 35-A, da Lei nº. 13.019/2014 e, em caso de rescisão, comunicar à administração pública no prazo de 15 dias;</w:t>
      </w:r>
    </w:p>
    <w:p w:rsidR="00645C9E" w:rsidRDefault="00645C9E">
      <w:pPr>
        <w:pStyle w:val="normal0"/>
        <w:spacing w:after="120"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after="120"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O item acima deverá ser excluído caso o edital não admita atuação em rede e deverá ser inserido texto prevendo a sua inadmissibilidade. </w:t>
      </w:r>
    </w:p>
    <w:p w:rsidR="00645C9E" w:rsidRDefault="009961F9">
      <w:pPr>
        <w:pStyle w:val="normal0"/>
        <w:pBdr>
          <w:top w:val="single" w:sz="4" w:space="1" w:color="000000"/>
          <w:left w:val="single" w:sz="4" w:space="4" w:color="000000"/>
          <w:bottom w:val="single" w:sz="4" w:space="1" w:color="000000"/>
          <w:right w:val="single" w:sz="4" w:space="4" w:color="000000"/>
        </w:pBdr>
        <w:spacing w:after="120"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Em atendimento ao §2º, do art. 16, do Decreto Estadual nº. 17.091/2016, nos casos de dispensa ou inexigibilidade, a atuação em rede deverá estar prevista nesse instrumento de parceria.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manter, durante toda a execução da parceria, em compatibilidade com as obrigações assumidas, todas as condições exigidas na seleção;</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destacar a participação do Governo do Estado e do (a) _____________ </w:t>
      </w:r>
      <w:r>
        <w:rPr>
          <w:rFonts w:ascii="Times New Roman" w:eastAsia="Times New Roman" w:hAnsi="Times New Roman" w:cs="Times New Roman"/>
          <w:color w:val="808080"/>
          <w:sz w:val="24"/>
          <w:szCs w:val="24"/>
        </w:rPr>
        <w:t>[nome do órgão ou entidade da administração pública]</w:t>
      </w:r>
      <w:r>
        <w:rPr>
          <w:rFonts w:ascii="Times New Roman" w:eastAsia="Times New Roman" w:hAnsi="Times New Roman" w:cs="Times New Roman"/>
          <w:sz w:val="24"/>
          <w:szCs w:val="24"/>
        </w:rPr>
        <w:t xml:space="preserve"> em qualquer ação promocional relacionada ao Termo de Colaboração, obtendo previamente o seu consentimento formal;</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providenciar e manter atualizadas todas as licenças e alvarás junto às repartições competentes, necessários à execução dos serviços objeto do presente termo;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O inciso acima deverá ser excluído caso não se aplique ao objeto da parceria.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bookmarkStart w:id="0" w:name="kix.vi7c15evrfih" w:colFirst="0" w:colLast="0"/>
      <w:bookmarkEnd w:id="0"/>
      <w:r>
        <w:rPr>
          <w:rFonts w:ascii="Times New Roman" w:eastAsia="Times New Roman" w:hAnsi="Times New Roman" w:cs="Times New Roman"/>
          <w:sz w:val="24"/>
          <w:szCs w:val="24"/>
        </w:rPr>
        <w:t xml:space="preserve">administrar os bens móveis e imóveis cujo uso lhe for permitido em virtude da parceria, inclusive executando manutenção preventiva e corretiva de forma contínua, até a sua restituição ao Poder </w:t>
      </w:r>
      <w:r>
        <w:rPr>
          <w:rFonts w:ascii="Times New Roman" w:eastAsia="Times New Roman" w:hAnsi="Times New Roman" w:cs="Times New Roman"/>
          <w:sz w:val="24"/>
          <w:szCs w:val="24"/>
        </w:rPr>
        <w:lastRenderedPageBreak/>
        <w:t>Público, contratando seguros prediais e de responsabilidade civil e responsabilizando-se pela segurança patrimonial do imóvel;</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O inciso acima será mantido apenas nos casos em que, para a execução da parceria, a administração pública disponibilize bens públicos à OSC por meio de Termo de Permissão de Uso.</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yellow"/>
        </w:rPr>
        <w:t>O órgão ou entidade deverá verificar se o bem imóvel a ser permitido o uso para a OSC possui seguro já contratado pela administração pública, hipótese em que o trecho correspondente deverá ser suprimido. A definição da contratação de seguro pela OSC ou pela administração pública deverá ser realizada, observando os atos normativos sobre o tema, cuja responsabilidade é de competência da Superintendência de Patrimônio – SUPAT da Secretaria da Administração do Estado da Bahia - SAEB. Caso a decisão seja pela contratação de seguro pela administração pública, inclusive a sua renovação, a obrigação correspondente deverá constar da cláusula relativa à Obrigação do Órgão ou Entidade.</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comunicar à (ao)_________ </w:t>
      </w:r>
      <w:r>
        <w:rPr>
          <w:rFonts w:ascii="Times New Roman" w:eastAsia="Times New Roman" w:hAnsi="Times New Roman" w:cs="Times New Roman"/>
          <w:color w:val="808080"/>
          <w:sz w:val="24"/>
          <w:szCs w:val="24"/>
        </w:rPr>
        <w:t>[órgão ou entidade da administração pública]</w:t>
      </w:r>
      <w:r>
        <w:rPr>
          <w:rFonts w:ascii="Times New Roman" w:eastAsia="Times New Roman" w:hAnsi="Times New Roman" w:cs="Times New Roman"/>
          <w:sz w:val="24"/>
          <w:szCs w:val="24"/>
        </w:rPr>
        <w:t xml:space="preserve"> todas as aquisições de permanentes móveis que forem realizadas, na prestação de contas final, desde que se tratem de aquisições realizadas com recursos recebidos em decorrência da parceria;</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utilizar os bens e serviços custeados com recursos da parceria exclusivamente na execução do objeto deste Termo de Colaboração;</w:t>
      </w:r>
    </w:p>
    <w:p w:rsidR="00645C9E" w:rsidRDefault="009961F9">
      <w:pPr>
        <w:pStyle w:val="normal0"/>
        <w:numPr>
          <w:ilvl w:val="0"/>
          <w:numId w:val="3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encaminhar ao Gestor da Parceria cópia das notas fiscais relativas à compra de bens na prestação de contas final.</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1"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 xml:space="preserve">Caso a parceria não tenha previsão de aquisição de bens, esta cláusula deverá ser excluída. </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SÉTIMA - OBRIGAÇÕES DO ________ </w:t>
      </w:r>
      <w:r>
        <w:rPr>
          <w:rFonts w:ascii="Times New Roman" w:eastAsia="Times New Roman" w:hAnsi="Times New Roman" w:cs="Times New Roman"/>
          <w:b/>
          <w:color w:val="808080"/>
          <w:sz w:val="24"/>
          <w:szCs w:val="24"/>
        </w:rPr>
        <w:t>[ÓRGÃO OU ENTIDADE DA ADMINISTRAÇÃO PÚBLICA]</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__________ </w:t>
      </w:r>
      <w:r>
        <w:rPr>
          <w:rFonts w:ascii="Times New Roman" w:eastAsia="Times New Roman" w:hAnsi="Times New Roman" w:cs="Times New Roman"/>
          <w:color w:val="808080"/>
          <w:sz w:val="24"/>
          <w:szCs w:val="24"/>
        </w:rPr>
        <w:t>[órgão ou entidade da administração pública]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além das obrigações contidas neste Termo de Colaboração por determinação legal, obriga-se a:</w:t>
      </w:r>
    </w:p>
    <w:p w:rsidR="00645C9E" w:rsidRDefault="00645C9E">
      <w:pPr>
        <w:pStyle w:val="normal0"/>
        <w:spacing w:before="40" w:after="40"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17"/>
        </w:numPr>
        <w:spacing w:before="40" w:after="40"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realizar tempestivamente o repasse dos recursos financeiros à OSC;</w:t>
      </w:r>
    </w:p>
    <w:p w:rsidR="00645C9E" w:rsidRDefault="009961F9">
      <w:pPr>
        <w:pStyle w:val="normal0"/>
        <w:numPr>
          <w:ilvl w:val="0"/>
          <w:numId w:val="17"/>
        </w:numPr>
        <w:spacing w:before="40" w:after="40"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manter, em seu sítio oficial na internet, a relação das parcerias celebradas e dos respectivos planos de trabalho, até 180 (cento e oitenta) dias após o respectivo encerramento, contendo, no mínimo, as informações requeridas no parágrafo único do art. 10 da Lei nº 13.019/2014;</w:t>
      </w:r>
    </w:p>
    <w:p w:rsidR="00645C9E" w:rsidRDefault="009961F9">
      <w:pPr>
        <w:pStyle w:val="normal0"/>
        <w:numPr>
          <w:ilvl w:val="0"/>
          <w:numId w:val="17"/>
        </w:numPr>
        <w:spacing w:before="40" w:after="40"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divulgar, em seu sítio oficial na internet, os meios de representação sobre a aplicação irregular dos recursos envolvidos na parceria;</w:t>
      </w:r>
    </w:p>
    <w:p w:rsidR="00645C9E" w:rsidRDefault="009961F9">
      <w:pPr>
        <w:pStyle w:val="normal0"/>
        <w:numPr>
          <w:ilvl w:val="0"/>
          <w:numId w:val="17"/>
        </w:numPr>
        <w:spacing w:before="40" w:after="40"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prestar esclarecimentos e informações à OSC que visem orientá-la na correta execução da parceria, dirimindo as questões omissas neste instrumento assim como lhe dar ciência de qualquer alteração no presente termo;</w:t>
      </w:r>
    </w:p>
    <w:p w:rsidR="00645C9E" w:rsidRDefault="009961F9">
      <w:pPr>
        <w:pStyle w:val="normal0"/>
        <w:numPr>
          <w:ilvl w:val="0"/>
          <w:numId w:val="17"/>
        </w:numPr>
        <w:spacing w:before="40" w:after="40"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prestar apoio necessário e indispensável à OSC para que seja alcançado o objeto do Termo de Colaboração em toda sua extensão e no tempo devido;</w:t>
      </w:r>
    </w:p>
    <w:p w:rsidR="00645C9E" w:rsidRDefault="009961F9">
      <w:pPr>
        <w:pStyle w:val="normal0"/>
        <w:numPr>
          <w:ilvl w:val="0"/>
          <w:numId w:val="17"/>
        </w:numPr>
        <w:spacing w:before="40" w:after="40"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proceder à publicação resumida do Termo de Colaboração e de seus aditamentos, no Diário Oficial do Estado, no prazo legal de até 10 (dez) dias corridos contados da data de sua assinatura,contendo, obrigatoriamente, a indicação do número de referência do chamamento público ou do ato de fundamentação legal da dispensa ou inexigibilidade, nome das partes, objeto, valor, fonte orçamentária da despesa, prazo de duração e o nome do Gestor da Parceria;</w:t>
      </w:r>
    </w:p>
    <w:p w:rsidR="00645C9E" w:rsidRDefault="009961F9">
      <w:pPr>
        <w:pStyle w:val="normal0"/>
        <w:numPr>
          <w:ilvl w:val="0"/>
          <w:numId w:val="17"/>
        </w:numPr>
        <w:spacing w:before="40" w:after="40"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designar Comissão de Monitoramento e Avaliação – CMA, por ato publicado no Diário Oficial do Estado, para monitorar e avaliar o cumprimento do Plano de Trabalho;</w:t>
      </w:r>
    </w:p>
    <w:p w:rsidR="00645C9E" w:rsidRDefault="00645C9E">
      <w:pPr>
        <w:pStyle w:val="normal0"/>
        <w:spacing w:before="40" w:after="40"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before="40" w:after="40"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lastRenderedPageBreak/>
        <w:t>Nota:</w:t>
      </w:r>
      <w:r>
        <w:rPr>
          <w:rFonts w:ascii="Times New Roman" w:eastAsia="Times New Roman" w:hAnsi="Times New Roman" w:cs="Times New Roman"/>
          <w:sz w:val="24"/>
          <w:szCs w:val="24"/>
          <w:highlight w:val="yellow"/>
        </w:rPr>
        <w:t xml:space="preserve"> De acordo com § 2º do art. 59 da Lei nº. 13.019/2014, as parcerias financiadas com recursos de fundos específicos serão monitoradas e avaliadas pelos respectivos conselhos gestores que desempenharão a função da Comissão de Monitoramento e Avaliação. Nesse caso, o item acima deverá ser excluído e a cláusula referente ao monitoramento e avaliação definirá a obrigação do conselho gestor desempenhar a função correspondente.</w:t>
      </w:r>
    </w:p>
    <w:p w:rsidR="00645C9E" w:rsidRDefault="00645C9E">
      <w:pPr>
        <w:pStyle w:val="normal0"/>
        <w:spacing w:before="40" w:after="40"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17"/>
        </w:numPr>
        <w:spacing w:before="40" w:after="40"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acompanhar e fiscalizar a execução do objeto da parceria;</w:t>
      </w:r>
    </w:p>
    <w:p w:rsidR="00645C9E" w:rsidRDefault="009961F9">
      <w:pPr>
        <w:pStyle w:val="normal0"/>
        <w:numPr>
          <w:ilvl w:val="0"/>
          <w:numId w:val="17"/>
        </w:numPr>
        <w:spacing w:before="40" w:after="40"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analisar as prestações de contas encaminhadas pela OSC;</w:t>
      </w:r>
    </w:p>
    <w:p w:rsidR="00645C9E" w:rsidRDefault="009961F9">
      <w:pPr>
        <w:pStyle w:val="normal0"/>
        <w:numPr>
          <w:ilvl w:val="0"/>
          <w:numId w:val="17"/>
        </w:numPr>
        <w:spacing w:before="40" w:after="40"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providenciar a consignação das dotações destinadas a custear este Termo de Colaboração no projeto de Lei Orçamentária, assim como estabelecer a sua previsão no planejamento plurianual do Estado;</w:t>
      </w:r>
    </w:p>
    <w:p w:rsidR="00645C9E" w:rsidRDefault="009961F9">
      <w:pPr>
        <w:pStyle w:val="normal0"/>
        <w:numPr>
          <w:ilvl w:val="0"/>
          <w:numId w:val="17"/>
        </w:numPr>
        <w:spacing w:before="40" w:after="40"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conceder o uso dos bens móveis e imóveis mediante ato do _______________ </w:t>
      </w:r>
      <w:r>
        <w:rPr>
          <w:rFonts w:ascii="Times New Roman" w:eastAsia="Times New Roman" w:hAnsi="Times New Roman" w:cs="Times New Roman"/>
          <w:color w:val="808080"/>
          <w:sz w:val="24"/>
          <w:szCs w:val="24"/>
        </w:rPr>
        <w:t>[administrador público órgão ou entidade]</w:t>
      </w:r>
      <w:r>
        <w:rPr>
          <w:rFonts w:ascii="Times New Roman" w:eastAsia="Times New Roman" w:hAnsi="Times New Roman" w:cs="Times New Roman"/>
          <w:sz w:val="24"/>
          <w:szCs w:val="24"/>
        </w:rPr>
        <w:t xml:space="preserve"> e celebração dos correspondentes Termos de Permissão de Uso; </w:t>
      </w:r>
    </w:p>
    <w:p w:rsidR="00645C9E" w:rsidRDefault="00645C9E">
      <w:pPr>
        <w:pStyle w:val="normal0"/>
        <w:spacing w:before="40" w:after="40"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O inciso acima será mantido apenas nos casos em que, para a execução da parceria, a administração pública disponibilize bens públicos à OSC por meio de Termo de Permissão de Uso.</w:t>
      </w:r>
    </w:p>
    <w:p w:rsidR="00645C9E" w:rsidRDefault="00645C9E">
      <w:pPr>
        <w:pStyle w:val="normal0"/>
        <w:spacing w:before="40" w:after="40"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17"/>
        </w:numPr>
        <w:spacing w:before="40" w:after="40"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registrar no Sistema de Administração de Patrimônio do Estado da Bahia – SIAP os bens adquiridos pela OSC em virtude do Termo de Colaboração.</w:t>
      </w:r>
    </w:p>
    <w:p w:rsidR="00645C9E" w:rsidRDefault="00645C9E">
      <w:pPr>
        <w:pStyle w:val="normal0"/>
        <w:spacing w:before="40" w:after="40"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O inciso acima será mantido nos casos em que exista na parceria a previsão de aquisição de bens pela OSC e quando os bens remanescentes, na data da conclusão ou extinção do Termo de Colaboração sejam de titularidade da Administração Pública.</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O Gestor da parceria deverá observar os procedimentos de controle e destinação de bens permanentes adquiridos com recursos decorrentes de parcerias.</w:t>
      </w:r>
    </w:p>
    <w:p w:rsidR="00645C9E" w:rsidRDefault="00645C9E">
      <w:pPr>
        <w:pStyle w:val="normal0"/>
        <w:spacing w:line="240" w:lineRule="auto"/>
        <w:ind w:left="-141" w:right="286"/>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OITAVA – ACOMPANHAMENTO, MONITORAMENTO E AVALIAÇÃO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atividades de acompanhamento, monitoramento e avaliação da execução da parceria deverão ser realizadas pelo Gestor da Parceria, __________ </w:t>
      </w:r>
      <w:r>
        <w:rPr>
          <w:rFonts w:ascii="Times New Roman" w:eastAsia="Times New Roman" w:hAnsi="Times New Roman" w:cs="Times New Roman"/>
          <w:color w:val="808080"/>
          <w:sz w:val="24"/>
          <w:szCs w:val="24"/>
        </w:rPr>
        <w:t>[nome do gestor]</w:t>
      </w:r>
      <w:r>
        <w:rPr>
          <w:rFonts w:ascii="Times New Roman" w:eastAsia="Times New Roman" w:hAnsi="Times New Roman" w:cs="Times New Roman"/>
          <w:sz w:val="24"/>
          <w:szCs w:val="24"/>
        </w:rPr>
        <w:t>, designado pela Portaria nº ___, publicada no Diário Oficial do Estado de __/__/___, e pela Comissão de Monitoramento e Avaliação designada pela Portaria nº ___, publicada no Diário Oficial do Estado de __/__/___.</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De acordo com o § 2º do art. 59 da Lei nº 13.019/2014, as parcerias financiadas com recursos de fundos específicos serão monitoradas e avaliadas pelos respectivos conselhos gestores que desempenharão a função da Comissão de Monitoramento e Avaliação, desde que esta competência esteja prevista em lei especifica ou nos respectivos regimentos. Nesta situação, o texto da cláusula acima deverá ser adaptado.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PRIMEIRO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 se for o caso, a indicação da participação de apoio técnico de terceiros, de delegação de competência ou de celebração de parcerias com órgãos ou entidades que se situem próximos ao local de aplicação dos recursos, conforme previsto no § 1º do art. 58 da Lei nº 13.019/2014.</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 xml:space="preserve">O inciso VIII do art. 42 da Lei nº 13.019/2014 determina como cláusula essencial que o instrumento de parceria contenha a forma de monitoramento e avaliação. Esta forma será definida no Plano de Acompanhamento, Monitoramento e Avaliação que se constitui no documento orientador </w:t>
      </w:r>
      <w:r>
        <w:rPr>
          <w:rFonts w:ascii="Times New Roman" w:eastAsia="Times New Roman" w:hAnsi="Times New Roman" w:cs="Times New Roman"/>
          <w:sz w:val="24"/>
          <w:szCs w:val="24"/>
          <w:highlight w:val="yellow"/>
        </w:rPr>
        <w:lastRenderedPageBreak/>
        <w:t>dos atores envolvidos no processo de monitoramento e avaliação da parceria, cujo modelo e orientações para sua elaboração consta da instrução normativa.</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De acordo com a instrução normativa, o Gestor da Parceria deverá elaborar Plano de Acompanhamento, Monitoramento e Avaliação no prazo de 15 dias corridos a contar da data da sua designação, devendo dar ciência do seu inteiro teor à OSC e à Comissão de Monitoramento e Avaliação. </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SEGUNDO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Gestor da Parceria emitirá relatório técnico de monitoramento e avaliação da parceria _____________ </w:t>
      </w:r>
      <w:r>
        <w:rPr>
          <w:rFonts w:ascii="Times New Roman" w:eastAsia="Times New Roman" w:hAnsi="Times New Roman" w:cs="Times New Roman"/>
          <w:color w:val="808080"/>
          <w:sz w:val="24"/>
          <w:szCs w:val="24"/>
        </w:rPr>
        <w:t>[definir periodicidade e prazo para entrega, de acordo com as orientações da nota abaixo]</w:t>
      </w:r>
      <w:r>
        <w:rPr>
          <w:rFonts w:ascii="Times New Roman" w:eastAsia="Times New Roman" w:hAnsi="Times New Roman" w:cs="Times New Roman"/>
          <w:sz w:val="24"/>
          <w:szCs w:val="24"/>
        </w:rPr>
        <w:t xml:space="preserve">, que observará os requisitos dispostos em lei, e o submeterá à Comissão de Monitoramento e Avaliação designada </w:t>
      </w:r>
      <w:r>
        <w:rPr>
          <w:rFonts w:ascii="Times New Roman" w:eastAsia="Times New Roman" w:hAnsi="Times New Roman" w:cs="Times New Roman"/>
          <w:color w:val="808080"/>
          <w:sz w:val="24"/>
          <w:szCs w:val="24"/>
        </w:rPr>
        <w:t>[ou Conselho Gestor, se for o caso]</w:t>
      </w:r>
      <w:r>
        <w:rPr>
          <w:rFonts w:ascii="Times New Roman" w:eastAsia="Times New Roman" w:hAnsi="Times New Roman" w:cs="Times New Roman"/>
          <w:sz w:val="24"/>
          <w:szCs w:val="24"/>
        </w:rPr>
        <w:t xml:space="preserve">, que o homologará, independentemente da obrigatoriedade de apresentação da prestação de contas pela OSC. </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O órgão ou entidade da administração publica estabelecerá a periodicidade da emissão do relatório técnico de monitoramento e avaliação no instrumento da parceria, inclusive data limite para sua emissão, levando em consideração a complexidade do objeto. O Relatório Técnico de Monitoramento e Avaliação terá como referência a periodicidade estabelecida neste instrumento. Um exemplo de data limite: 10º dia útil do mês subsequente ao encerramento de cada trimestre.</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O modelo do relatório técnico de monitoramento e avaliação da parceria será definido na instrução normativa.</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Lembramos que nos casos de parcerias financiadas com recursos de fundos específicos, os respectivos conselhos gestores desempenharão a função da Comissão de Monitoramento e Avaliação, desde que esta competência esteja prevista em lei específica ou nos respectivos regimentos, devendo se proceder a adaptação do texto correspondente.</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TERCEIRO</w:t>
      </w:r>
    </w:p>
    <w:p w:rsidR="00645C9E" w:rsidRDefault="009961F9">
      <w:pPr>
        <w:pStyle w:val="normal0"/>
        <w:tabs>
          <w:tab w:val="left" w:pos="284"/>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ato da homologação, a Comissão de Monitoramento e Avaliação poderá gerar recomendações de melhoria da parceria com base nas informações contidas no relatório técnico de monitoramento e avaliação.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QUARTO</w:t>
      </w:r>
    </w:p>
    <w:p w:rsidR="00645C9E" w:rsidRDefault="009961F9">
      <w:pPr>
        <w:pStyle w:val="normal0"/>
        <w:tabs>
          <w:tab w:val="left" w:pos="284"/>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Gestor da Parceria encaminhará relatório técnico de monitoramento e avaliação da parceria homologado ao ________________ </w:t>
      </w:r>
      <w:r>
        <w:rPr>
          <w:rFonts w:ascii="Times New Roman" w:eastAsia="Times New Roman" w:hAnsi="Times New Roman" w:cs="Times New Roman"/>
          <w:color w:val="808080"/>
          <w:sz w:val="24"/>
          <w:szCs w:val="24"/>
        </w:rPr>
        <w:t>[Administrador Público do órgão ou entidade]</w:t>
      </w:r>
      <w:r>
        <w:rPr>
          <w:rFonts w:ascii="Times New Roman" w:eastAsia="Times New Roman" w:hAnsi="Times New Roman" w:cs="Times New Roman"/>
          <w:sz w:val="24"/>
          <w:szCs w:val="24"/>
        </w:rPr>
        <w:t xml:space="preserve"> e à OSC e providenciará a sua publicação no sítio eletrônico oficial ou na plataforma eletrônica, quando disponível.</w:t>
      </w:r>
    </w:p>
    <w:p w:rsidR="00645C9E" w:rsidRDefault="00645C9E">
      <w:pPr>
        <w:pStyle w:val="normal0"/>
        <w:tabs>
          <w:tab w:val="left" w:pos="9540"/>
        </w:tabs>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NONA – PRESTAÇÃO DE CONTAS</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prestação de contas constitui-se no procedimento de análise e avaliação da execução da parceria, pelo qual seja possível verificar o cumprimento do objeto da parceria e o alcance das metas e dos resultados previstos, compreendendo duas fases: apresentação das contas, de responsabilidade da Organização da Sociedade Civil; análise e manifestação conclusiva das contas, de responsabilidade da administração pública, sem prejuízo da atuação dos órgãos de controle.</w:t>
      </w:r>
    </w:p>
    <w:p w:rsidR="00645C9E" w:rsidRDefault="00645C9E">
      <w:pPr>
        <w:pStyle w:val="normal0"/>
        <w:tabs>
          <w:tab w:val="left" w:pos="993"/>
        </w:tabs>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PRIMEIRO</w:t>
      </w: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prestação de contas apresentada pela Organização da Sociedade Civil ocorrerá de forma:</w:t>
      </w:r>
    </w:p>
    <w:p w:rsidR="00645C9E" w:rsidRDefault="00645C9E">
      <w:pPr>
        <w:pStyle w:val="normal0"/>
        <w:spacing w:line="240" w:lineRule="auto"/>
        <w:ind w:left="-141" w:right="286"/>
        <w:rPr>
          <w:rFonts w:ascii="Times New Roman" w:eastAsia="Times New Roman" w:hAnsi="Times New Roman" w:cs="Times New Roman"/>
          <w:sz w:val="24"/>
          <w:szCs w:val="24"/>
        </w:rPr>
      </w:pPr>
    </w:p>
    <w:p w:rsidR="00645C9E" w:rsidRDefault="009961F9">
      <w:pPr>
        <w:pStyle w:val="normal0"/>
        <w:numPr>
          <w:ilvl w:val="0"/>
          <w:numId w:val="30"/>
        </w:numPr>
        <w:tabs>
          <w:tab w:val="left" w:pos="993"/>
        </w:tabs>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Parcial, até ___________ </w:t>
      </w:r>
      <w:r>
        <w:rPr>
          <w:rFonts w:ascii="Times New Roman" w:eastAsia="Times New Roman" w:hAnsi="Times New Roman" w:cs="Times New Roman"/>
          <w:color w:val="808080"/>
          <w:sz w:val="24"/>
          <w:szCs w:val="24"/>
        </w:rPr>
        <w:t>[definir data limite e periodicidade de entrega]</w:t>
      </w:r>
      <w:r>
        <w:rPr>
          <w:rFonts w:ascii="Times New Roman" w:eastAsia="Times New Roman" w:hAnsi="Times New Roman" w:cs="Times New Roman"/>
          <w:sz w:val="24"/>
          <w:szCs w:val="24"/>
        </w:rPr>
        <w:t>;</w:t>
      </w:r>
    </w:p>
    <w:p w:rsidR="00645C9E" w:rsidRDefault="00645C9E">
      <w:pPr>
        <w:pStyle w:val="normal0"/>
        <w:tabs>
          <w:tab w:val="left" w:pos="993"/>
        </w:tabs>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Caso não opte por prestações de contas parciais, o item acima deverá ser excluído.</w:t>
      </w: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 xml:space="preserve">O § 5º do art. 18 do Decreto Estadual nº 17.091/2016 disciplina que os termos de parceria poderão prever prestações de contas parciais em periodicidade inferior a 01 (um) ano, tendo em vista as especificidades do objeto da parceria. Dessa forma, o órgão ou entidade da administração pública decidirá quanto à exigência de prestações parciais estabelecendo a obrigatoriedade no instrumento da parceria, definindo a data limite para apresentação das contas pela OSC. Um exemplo de data limite: 5º dia útil do mês subsequente ao encerramento de cada trimestre. </w:t>
      </w:r>
    </w:p>
    <w:p w:rsidR="00645C9E" w:rsidRDefault="00645C9E">
      <w:pPr>
        <w:pStyle w:val="normal0"/>
        <w:tabs>
          <w:tab w:val="left" w:pos="993"/>
        </w:tabs>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30"/>
        </w:numPr>
        <w:tabs>
          <w:tab w:val="left" w:pos="993"/>
        </w:tabs>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Anual, até o último dia do mês de fevereiro do exercício subseqüente;</w:t>
      </w:r>
    </w:p>
    <w:p w:rsidR="00645C9E" w:rsidRDefault="00645C9E">
      <w:pPr>
        <w:pStyle w:val="normal0"/>
        <w:tabs>
          <w:tab w:val="left" w:pos="993"/>
        </w:tabs>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De acordo com §4º do art. 18 do Decreto Estadual nº 17.091/2016, se a duração da parceria exceder 1 ano, a OSC deverá apresentar prestação de contas ao fim de cada exercício, até o último dia do mês de fevereiro do exercício subseqüente, para fins de monitoramento do cumprimento das metas do objeto. Caso a parceria não exceda 1 ano, excluir este item.</w:t>
      </w:r>
    </w:p>
    <w:p w:rsidR="00645C9E" w:rsidRDefault="00645C9E">
      <w:pPr>
        <w:pStyle w:val="normal0"/>
        <w:spacing w:line="240" w:lineRule="auto"/>
        <w:ind w:left="-141" w:right="286"/>
        <w:rPr>
          <w:rFonts w:ascii="Times New Roman" w:eastAsia="Times New Roman" w:hAnsi="Times New Roman" w:cs="Times New Roman"/>
          <w:sz w:val="24"/>
          <w:szCs w:val="24"/>
        </w:rPr>
      </w:pPr>
    </w:p>
    <w:p w:rsidR="00645C9E" w:rsidRDefault="009961F9">
      <w:pPr>
        <w:pStyle w:val="normal0"/>
        <w:numPr>
          <w:ilvl w:val="0"/>
          <w:numId w:val="30"/>
        </w:numPr>
        <w:tabs>
          <w:tab w:val="left" w:pos="993"/>
          <w:tab w:val="left" w:pos="1134"/>
        </w:tabs>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 até ___ (      ) dias após o término da vigência deste instrumento de parceria, podendo este prazo ser prorrogado por até 30 (trinta) dias, desde que devidamente justificado pela OSC e aprovado pela administração pública.</w:t>
      </w:r>
    </w:p>
    <w:p w:rsidR="00645C9E" w:rsidRDefault="00645C9E">
      <w:pPr>
        <w:pStyle w:val="normal0"/>
        <w:tabs>
          <w:tab w:val="left" w:pos="993"/>
        </w:tabs>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tabs>
          <w:tab w:val="left" w:pos="993"/>
        </w:tabs>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O prazo para apresentação pela OSC da prestação de contas final será estabelecido pelo órgão ou entidade da administração pública no instrumento da parceria, de acordo com a complexidade do objeto, não podendo ultrapassar o prazo máximo de até 90 (noventa) dias, conforme caput e §1º do art. 69 da Lei nº 13.019/2014.</w:t>
      </w:r>
    </w:p>
    <w:p w:rsidR="00645C9E" w:rsidRDefault="009961F9">
      <w:pPr>
        <w:pStyle w:val="normal0"/>
        <w:pBdr>
          <w:top w:val="single" w:sz="4" w:space="1" w:color="000000"/>
          <w:left w:val="single" w:sz="4" w:space="4" w:color="000000"/>
          <w:bottom w:val="single" w:sz="4" w:space="1" w:color="000000"/>
          <w:right w:val="single" w:sz="4" w:space="4" w:color="000000"/>
        </w:pBdr>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A possibilidade de prorrogação do prazo estabelecido no instrumento de parceria por mais 30 (trinta) dias está prevista no §4º do art. 69 da Lei nº 13.019/2014.</w:t>
      </w:r>
    </w:p>
    <w:p w:rsidR="00645C9E" w:rsidRDefault="00645C9E">
      <w:pPr>
        <w:pStyle w:val="normal0"/>
        <w:tabs>
          <w:tab w:val="left" w:pos="993"/>
        </w:tabs>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SEGUNDO</w:t>
      </w: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prestação de contas relativa à execução do Termo de Colaboração dar-se-á mediante a apresentação pela OSC do relatório de execução do objeto e do relatório de execução financeira, na forma prevista no art. 18 do Decreto Estadual nº 17.091/2016.</w:t>
      </w:r>
    </w:p>
    <w:p w:rsidR="00645C9E" w:rsidRDefault="00645C9E">
      <w:pPr>
        <w:pStyle w:val="normal0"/>
        <w:tabs>
          <w:tab w:val="left" w:pos="993"/>
        </w:tabs>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TERCEIRO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custo dos recursos alocados parcialmente na realização do objeto da parceria será determinado mediante rateio, cuja memória de cálculo deverá ser detalhada nos Relatórios de Prestação de Contas, contendo os critérios de rateio, o valor do custo total do recurso e de todas as frações rateadas, com especificação das respectivas fontes provedoras (nome, CNPJ e o número do instrumento de parceria/contrato).</w:t>
      </w:r>
    </w:p>
    <w:p w:rsidR="00645C9E" w:rsidRDefault="00645C9E">
      <w:pPr>
        <w:pStyle w:val="normal0"/>
        <w:spacing w:line="240" w:lineRule="auto"/>
        <w:ind w:left="-141" w:right="286"/>
        <w:rPr>
          <w:rFonts w:ascii="Times New Roman" w:eastAsia="Times New Roman" w:hAnsi="Times New Roman" w:cs="Times New Roman"/>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QUARTO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apresentação dos documentos indicados no parágrafo segundo desta cláusula não obsta que a administração pública solicite outros documentos necessários à avaliação e ao monitoramento da execução da parceria, conforme as especificidades de seu objeto.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QUINTO</w:t>
      </w: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hipótese de celebração de termo de atuação em rede, cabe a OSC Celebrante apresentar a prestação de contas inclusive no que se refere às ações executadas pelas Organizações da Sociedade Civil executantes e não celebrantes.</w:t>
      </w:r>
    </w:p>
    <w:p w:rsidR="00645C9E" w:rsidRDefault="00645C9E">
      <w:pPr>
        <w:pStyle w:val="normal0"/>
        <w:tabs>
          <w:tab w:val="left" w:pos="993"/>
        </w:tabs>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A disposição acima está disciplinada no § 2º, art.17 do Decreto Estadual nº 17.091/2016.</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SEXTO</w:t>
      </w:r>
    </w:p>
    <w:p w:rsidR="00645C9E" w:rsidRDefault="00645C9E">
      <w:pPr>
        <w:pStyle w:val="normal0"/>
        <w:tabs>
          <w:tab w:val="left" w:pos="993"/>
        </w:tabs>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1ª opção - para parcerias com valor global igual ou inferior a R$250 mil:</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Gestor da Parceria emitirá parecer técnico de análise de prestação de contas da parceria, devendo considerar em sua análise os documentos previstos no Plano de Trabalho, o relatório de execução do objeto e, em caso de descumprimento de metas e resultados ou indícios de irregularidade na aplicação dos recursos, o relatório de execução financeira.</w:t>
      </w:r>
    </w:p>
    <w:p w:rsidR="00645C9E" w:rsidRDefault="009961F9">
      <w:pPr>
        <w:pStyle w:val="normal0"/>
        <w:spacing w:line="240" w:lineRule="auto"/>
        <w:ind w:left="-141" w:right="2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OU</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2ª opção - para parcerias com valor global superior a R$250 mil:</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Gestor da Parceria emitirá parecer técnico de análise de prestação de contas da parceria, devendo considerar em sua análise os documentos previstos no Plano de Trabalho, assim como o relatório de execução do objeto e o relatório de execução financeira.</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De acordo com o art.66 da Lei nº 13.019/2014, a prestação de contas relativa à execução do Termo de Colaboração ou de Fomento dar-se-á mediante a análise dos documentos previstos no Plano de Trabalho, além dos seguintes relatórios:</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I - relatório de execução do objeto, elaborado pela Organização da Sociedade Civil, contendo as atividades ou projetos desenvolvidos para o cumprimento do objeto e o comparativo de metas propostas com os resultados alcançados; </w:t>
      </w: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II - relatório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b/>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As alternativas de texto acima estão em consonância com o caput e §1° do art. 19, do Decreto Estadual nº 17.091/2016, que disciplina que:</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tabs>
          <w:tab w:val="left" w:pos="851"/>
        </w:tabs>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“Art. 19 - A Administração Pública apreciará a prestação de contas apresentada nos termos dos §§ 1º e 2º do art. 18 deste Decreto.</w:t>
      </w:r>
    </w:p>
    <w:p w:rsidR="00645C9E" w:rsidRDefault="00645C9E">
      <w:pPr>
        <w:pStyle w:val="normal0"/>
        <w:pBdr>
          <w:top w:val="single" w:sz="4" w:space="1" w:color="000000"/>
          <w:left w:val="single" w:sz="4" w:space="4" w:color="000000"/>
          <w:bottom w:val="single" w:sz="4" w:space="1" w:color="000000"/>
          <w:right w:val="single" w:sz="4" w:space="4" w:color="000000"/>
        </w:pBdr>
        <w:tabs>
          <w:tab w:val="left" w:pos="851"/>
        </w:tabs>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tabs>
          <w:tab w:val="left" w:pos="851"/>
        </w:tabs>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1º - Nas parcerias com valor global até R$250.000,00 (duzentos e cinquenta mil reais), a análise dos documentos constantes do § 2º do art. 18 deste Decreto somente será realizada nas seguintes hipóteses:</w:t>
      </w:r>
    </w:p>
    <w:p w:rsidR="00645C9E" w:rsidRDefault="00645C9E">
      <w:pPr>
        <w:pStyle w:val="normal0"/>
        <w:pBdr>
          <w:top w:val="single" w:sz="4" w:space="1" w:color="000000"/>
          <w:left w:val="single" w:sz="4" w:space="4" w:color="000000"/>
          <w:bottom w:val="single" w:sz="4" w:space="1" w:color="000000"/>
          <w:right w:val="single" w:sz="4" w:space="4" w:color="000000"/>
        </w:pBdr>
        <w:tabs>
          <w:tab w:val="left" w:pos="851"/>
        </w:tabs>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tabs>
          <w:tab w:val="left" w:pos="851"/>
        </w:tabs>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I - descumprimento de metas e resultados estabelecidos no plano de trabalho;</w:t>
      </w:r>
    </w:p>
    <w:p w:rsidR="00645C9E" w:rsidRDefault="009961F9">
      <w:pPr>
        <w:pStyle w:val="normal0"/>
        <w:pBdr>
          <w:top w:val="single" w:sz="4" w:space="1" w:color="000000"/>
          <w:left w:val="single" w:sz="4" w:space="4" w:color="000000"/>
          <w:bottom w:val="single" w:sz="4" w:space="1" w:color="000000"/>
          <w:right w:val="single" w:sz="4" w:space="4" w:color="000000"/>
        </w:pBdr>
        <w:tabs>
          <w:tab w:val="left" w:pos="851"/>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II - indícios de irregularidade na aplicação dos recursos.</w:t>
      </w:r>
      <w:r>
        <w:rPr>
          <w:rFonts w:ascii="Times New Roman" w:eastAsia="Times New Roman" w:hAnsi="Times New Roman" w:cs="Times New Roman"/>
          <w:sz w:val="24"/>
          <w:szCs w:val="24"/>
        </w:rPr>
        <w:t>”</w:t>
      </w:r>
    </w:p>
    <w:p w:rsidR="00645C9E" w:rsidRDefault="00645C9E">
      <w:pPr>
        <w:pStyle w:val="normal0"/>
        <w:tabs>
          <w:tab w:val="left" w:pos="993"/>
        </w:tabs>
        <w:spacing w:line="240" w:lineRule="auto"/>
        <w:ind w:left="-141" w:right="286"/>
        <w:jc w:val="both"/>
        <w:rPr>
          <w:rFonts w:ascii="Times New Roman" w:eastAsia="Times New Roman" w:hAnsi="Times New Roman" w:cs="Times New Roman"/>
          <w:b/>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SÉTIMO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dados financeiros serão analisados com o intuito de estabelecer o nexo de causalidade entre a receita e a despesa realizada, a sua conformidade e o cumprimento das normas pertinentes.</w:t>
      </w:r>
    </w:p>
    <w:p w:rsidR="00645C9E" w:rsidRDefault="00645C9E">
      <w:pPr>
        <w:pStyle w:val="normal0"/>
        <w:tabs>
          <w:tab w:val="left" w:pos="993"/>
        </w:tabs>
        <w:spacing w:line="240" w:lineRule="auto"/>
        <w:ind w:left="-141" w:right="286"/>
        <w:jc w:val="both"/>
        <w:rPr>
          <w:rFonts w:ascii="Times New Roman" w:eastAsia="Times New Roman" w:hAnsi="Times New Roman" w:cs="Times New Roman"/>
          <w:b/>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OITAVO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Gestor da Parceria considerará ainda nas análises de prestações de contas o conteúdo dos relatórios técnicos de monitoramento e avaliação, quando houver.</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NONO</w:t>
      </w:r>
    </w:p>
    <w:p w:rsidR="00645C9E" w:rsidRDefault="009961F9">
      <w:pPr>
        <w:pStyle w:val="normal0"/>
        <w:tabs>
          <w:tab w:val="left" w:pos="284"/>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Gestor da Parceria emitirá parecer técnico de análise da prestação de contas, parte integrante do relatório técnico de monitoramento e avaliação, no prazo de 30 (trinta) dias, a contar da data da sua apresentação, prorrogável por igual período desde que devidamente justificado, avaliando-a como:</w:t>
      </w:r>
    </w:p>
    <w:p w:rsidR="00645C9E" w:rsidRDefault="00645C9E">
      <w:pPr>
        <w:pStyle w:val="normal0"/>
        <w:tabs>
          <w:tab w:val="left" w:pos="284"/>
        </w:tabs>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44"/>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quando expressar, de forma clara e objetiva, o cumprimento dos objetivos e metas estabelecidos no plano de trabalho;</w:t>
      </w:r>
    </w:p>
    <w:p w:rsidR="00645C9E" w:rsidRDefault="009961F9">
      <w:pPr>
        <w:pStyle w:val="normal0"/>
        <w:numPr>
          <w:ilvl w:val="0"/>
          <w:numId w:val="44"/>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com ressalva, quando evidenciar impropriedade ou qualquer outra falta de natureza formal que não resulte em dano ao erário;</w:t>
      </w:r>
    </w:p>
    <w:p w:rsidR="00645C9E" w:rsidRDefault="009961F9">
      <w:pPr>
        <w:pStyle w:val="normal0"/>
        <w:numPr>
          <w:ilvl w:val="0"/>
          <w:numId w:val="44"/>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irregular, quando comprovada qualquer das seguintes circunstâncias: omissão no dever de prestar contas; descumprimento injustificado dos objetivos e metas estabelecidos no plano de trabalho; dano ao erário decorrente de ato de gestão ilegítimo ou antieconômico; desfalque ou desvio de dinheiro, bens ou valores públicos.</w:t>
      </w:r>
    </w:p>
    <w:p w:rsidR="00645C9E" w:rsidRDefault="00645C9E">
      <w:pPr>
        <w:pStyle w:val="normal0"/>
        <w:tabs>
          <w:tab w:val="left" w:pos="993"/>
        </w:tabs>
        <w:spacing w:line="240" w:lineRule="auto"/>
        <w:ind w:left="-141" w:right="286"/>
        <w:jc w:val="both"/>
        <w:rPr>
          <w:rFonts w:ascii="Times New Roman" w:eastAsia="Times New Roman" w:hAnsi="Times New Roman" w:cs="Times New Roman"/>
          <w:b/>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DÉCIMO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___________ </w:t>
      </w:r>
      <w:r>
        <w:rPr>
          <w:rFonts w:ascii="Times New Roman" w:eastAsia="Times New Roman" w:hAnsi="Times New Roman" w:cs="Times New Roman"/>
          <w:color w:val="808080"/>
          <w:sz w:val="24"/>
          <w:szCs w:val="24"/>
        </w:rPr>
        <w:t>[Administrador Público do órgão ou entidade]</w:t>
      </w:r>
      <w:r>
        <w:rPr>
          <w:rFonts w:ascii="Times New Roman" w:eastAsia="Times New Roman" w:hAnsi="Times New Roman" w:cs="Times New Roman"/>
          <w:sz w:val="24"/>
          <w:szCs w:val="24"/>
        </w:rPr>
        <w:t xml:space="preserve"> aprovará, no prazo máximo de 30 (trinta) dias, a prestação de contas desde que cumpridos o objeto e as metas da parceria, ressalvando a aprovação quando evidenciarem impropriedade ou qualquer outra falta de natureza formal que não resulte em dano ao erário.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O Administrador Público do órgão ou entidade é conceituado na Lei como “agente público revestido de competência para assinar Termo de Colaboração, Termo de Fomento ou Acordo de Cooperação com Organização da Sociedade Civil para a consecução de finalidades de interesse público e recíproco, ainda que delegue essa competência a terceiros”.</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b/>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De acordo com o § 1º do art. 72 da Lei nº. 13.019/2014:</w:t>
      </w:r>
    </w:p>
    <w:p w:rsidR="00645C9E" w:rsidRDefault="009961F9">
      <w:pPr>
        <w:pStyle w:val="normal0"/>
        <w:pBdr>
          <w:top w:val="single" w:sz="4" w:space="1" w:color="000000"/>
          <w:left w:val="single" w:sz="4" w:space="4" w:color="000000"/>
          <w:bottom w:val="single" w:sz="4" w:space="1" w:color="000000"/>
          <w:right w:val="single" w:sz="4" w:space="4" w:color="000000"/>
        </w:pBdr>
        <w:tabs>
          <w:tab w:val="left" w:pos="0"/>
        </w:tabs>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DÉCIMO PRIMEIRO</w:t>
      </w:r>
    </w:p>
    <w:p w:rsidR="00645C9E" w:rsidRDefault="009961F9">
      <w:pPr>
        <w:pStyle w:val="normal0"/>
        <w:tabs>
          <w:tab w:val="left" w:pos="142"/>
          <w:tab w:val="left" w:pos="284"/>
          <w:tab w:val="left" w:pos="567"/>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 hipóteses de prestação de contas avaliada como irregular ou de omissão de prestação de contas, o Gestor da Parceria notificará a OSC, podendo esta: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40"/>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sanar a irregularidade ou cumprir a obrigação, no prazo de 45 (quarenta e cinco) dias, prorrogável, no máximo, por igual período; ou</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40"/>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apresentar recurso, com efeito não suspensivo, no prazo de 15 (quinze) dias a contar da notificação, ao Gestor da Parceria, o qual, se não reconsiderar a decisão no prazo de 15 (quinze) dias, encaminhará o recurso ao administrador público do órgão ou entidade, para decisão final no prazo de 15 (quinze) dias.</w:t>
      </w:r>
    </w:p>
    <w:p w:rsidR="00645C9E" w:rsidRDefault="00645C9E">
      <w:pPr>
        <w:pStyle w:val="normal0"/>
        <w:tabs>
          <w:tab w:val="left" w:pos="284"/>
        </w:tabs>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DÉCIMO SEGUNDO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saneamento da irregularidade será realizado por meio do ressarcimento ao erário dos recursos financeiros relacionados com a irregularidade, podendo a OSC solicitar ao _____________ </w:t>
      </w:r>
      <w:r>
        <w:rPr>
          <w:rFonts w:ascii="Times New Roman" w:eastAsia="Times New Roman" w:hAnsi="Times New Roman" w:cs="Times New Roman"/>
          <w:color w:val="808080"/>
          <w:sz w:val="24"/>
          <w:szCs w:val="24"/>
        </w:rPr>
        <w:t>[administrador público do órgão ou entidade]</w:t>
      </w:r>
      <w:r>
        <w:rPr>
          <w:rFonts w:ascii="Times New Roman" w:eastAsia="Times New Roman" w:hAnsi="Times New Roman" w:cs="Times New Roman"/>
          <w:sz w:val="24"/>
          <w:szCs w:val="24"/>
        </w:rPr>
        <w:t xml:space="preserve"> autorização para que o ressarcimento seja promovido por meio de ações compensatórias de interesse público, mediante a apresentação de novo plano de trabalho, conforme o objeto descrito no instrumento de parceria e a área de atuação da organização, cuja mensuração econômica será feita a partir do plano de trabalho original, desde que não tenha havido dolo ou fraude e não seja o caso de restituição integral dos recursos.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DÉCIMO TERCEIRO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Persistindo a irregularidade após o decurso do prazo para o seu saneamento, o _______________ </w:t>
      </w:r>
      <w:r>
        <w:rPr>
          <w:rFonts w:ascii="Times New Roman" w:eastAsia="Times New Roman" w:hAnsi="Times New Roman" w:cs="Times New Roman"/>
          <w:color w:val="808080"/>
          <w:sz w:val="24"/>
          <w:szCs w:val="24"/>
        </w:rPr>
        <w:t>[Administrador Público do órgão ou entidade]</w:t>
      </w:r>
      <w:r>
        <w:rPr>
          <w:rFonts w:ascii="Times New Roman" w:eastAsia="Times New Roman" w:hAnsi="Times New Roman" w:cs="Times New Roman"/>
          <w:sz w:val="24"/>
          <w:szCs w:val="24"/>
        </w:rPr>
        <w:t xml:space="preserve"> rejeitará a prestação de contas, instaurará o processo de tomada de contas especial e aplicará a sanção prevista no inciso II, art.73 da Lei nº 13.019/2014, cabendo ainda: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vedar a transferência de novos recursos;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 xml:space="preserve">O § 1º, do art. 39 da Lei nº 13.019/2014 disciplina que no caso de permanência de irregularidade após decurso do prazo para o seu saneamento, será vedada a transferência de novos </w:t>
      </w:r>
      <w:r>
        <w:rPr>
          <w:rFonts w:ascii="Times New Roman" w:eastAsia="Times New Roman" w:hAnsi="Times New Roman" w:cs="Times New Roman"/>
          <w:sz w:val="24"/>
          <w:szCs w:val="24"/>
          <w:highlight w:val="yellow"/>
        </w:rPr>
        <w:lastRenderedPageBreak/>
        <w:t>recursos no âmbito da parceria em execução, excetuando-se os casos de serviços essenciais que não podem ser adiados sob pena de prejuízo ao erário ou à população, desde que precedida de expressa e fundamentada autorização do Administrador Público do órgão ou entidade, sob pena de responsabilidade solidária.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registrar a rejeição e suas causas em sítio oficial na internet, enquanto perdurarem os motivos determinantes da rejeição.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Observar o que dispõe o §6º, do art. 69 da Lei nº 13.019/2014:</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As impropriedades que deram causa à rejeição da prestação de contas serão registradas em plataforma eletrônica de acesso público, devendo ser levadas em consideração por ocasião da assinatura de futuras parcerias com a administração pública, conforme definido em regulamento.</w:t>
      </w:r>
    </w:p>
    <w:p w:rsidR="00645C9E" w:rsidRDefault="00645C9E">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DÉCIMO QUARTO</w:t>
      </w:r>
    </w:p>
    <w:p w:rsidR="00645C9E" w:rsidRDefault="009961F9">
      <w:pPr>
        <w:pStyle w:val="normal0"/>
        <w:tabs>
          <w:tab w:val="left" w:pos="142"/>
          <w:tab w:val="left" w:pos="284"/>
          <w:tab w:val="left" w:pos="567"/>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análise das prestações de contas não compromete a liberação das parcelas de recursos subsequentes, exceto nos casos a seguir, nos quais ficarão retidas até o saneamento das impropriedades: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quando houver evidências de irregularidade na aplicação de parcela anteriormente recebida;</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quando constatado desvio de finalidade na aplicação dos recursos ou o inadimplemento da OSC em relação a obrigações estabelecidas no Termo de Colaboração;     </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quando a OSC deixar de adotar sem justificativa suficiente as medidas saneadoras apontadas pela administração pública ou pelos órgãos de controle interno ou externo.        </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left" w:pos="993"/>
        </w:tabs>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DÉCIMO QUINTO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prestação de contas e todos os atos que dela decorram serão disponibilizados em sítio oficial na internet.</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1" w:color="000000"/>
          <w:bottom w:val="single" w:sz="4" w:space="1" w:color="000000"/>
          <w:right w:val="single" w:sz="4" w:space="1"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O art. 65 da Lei nº 13.019/2014 disciplina que a prestação de contas e todos os atos que dela decorram dar-se-ão em plataforma eletrônica, permitindo a visualização por qualquer interessado.</w:t>
      </w:r>
    </w:p>
    <w:p w:rsidR="00645C9E" w:rsidRDefault="00645C9E">
      <w:pPr>
        <w:pStyle w:val="normal0"/>
        <w:pBdr>
          <w:top w:val="single" w:sz="4" w:space="1" w:color="000000"/>
          <w:left w:val="single" w:sz="4" w:space="1" w:color="000000"/>
          <w:bottom w:val="single" w:sz="4" w:space="1" w:color="000000"/>
          <w:right w:val="single" w:sz="4" w:space="1" w:color="000000"/>
        </w:pBdr>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1" w:color="000000"/>
          <w:bottom w:val="single" w:sz="4" w:space="1" w:color="000000"/>
          <w:right w:val="single" w:sz="4" w:space="1" w:color="000000"/>
        </w:pBdr>
        <w:spacing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Após definição pelo Estado quanto à plataforma eletrônica, deverá ser utilizado o seguinte texto:</w:t>
      </w:r>
    </w:p>
    <w:p w:rsidR="00645C9E" w:rsidRDefault="00645C9E">
      <w:pPr>
        <w:pStyle w:val="normal0"/>
        <w:pBdr>
          <w:top w:val="single" w:sz="4" w:space="1" w:color="000000"/>
          <w:left w:val="single" w:sz="4" w:space="1" w:color="000000"/>
          <w:bottom w:val="single" w:sz="4" w:space="1" w:color="000000"/>
          <w:right w:val="single" w:sz="4" w:space="1" w:color="000000"/>
        </w:pBdr>
        <w:spacing w:line="240" w:lineRule="auto"/>
        <w:ind w:left="-141" w:right="286"/>
        <w:jc w:val="both"/>
        <w:rPr>
          <w:rFonts w:ascii="Times New Roman" w:eastAsia="Times New Roman" w:hAnsi="Times New Roman" w:cs="Times New Roman"/>
          <w:sz w:val="24"/>
          <w:szCs w:val="24"/>
          <w:highlight w:val="yellow"/>
        </w:rPr>
      </w:pPr>
    </w:p>
    <w:p w:rsidR="00645C9E" w:rsidRDefault="009961F9">
      <w:pPr>
        <w:pStyle w:val="normal0"/>
        <w:pBdr>
          <w:top w:val="single" w:sz="4" w:space="1" w:color="000000"/>
          <w:left w:val="single" w:sz="4" w:space="1" w:color="000000"/>
          <w:bottom w:val="single" w:sz="4" w:space="1" w:color="000000"/>
          <w:right w:val="single" w:sz="4" w:space="1"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A prestação de contas e todos os atos que dela decorram dar-se-ão no _________________ </w:t>
      </w:r>
      <w:r>
        <w:rPr>
          <w:rFonts w:ascii="Times New Roman" w:eastAsia="Times New Roman" w:hAnsi="Times New Roman" w:cs="Times New Roman"/>
          <w:color w:val="808080"/>
          <w:sz w:val="24"/>
          <w:szCs w:val="24"/>
          <w:highlight w:val="yellow"/>
        </w:rPr>
        <w:t>[nome da plataforma eletrônica]</w:t>
      </w:r>
      <w:r>
        <w:rPr>
          <w:rFonts w:ascii="Times New Roman" w:eastAsia="Times New Roman" w:hAnsi="Times New Roman" w:cs="Times New Roman"/>
          <w:sz w:val="24"/>
          <w:szCs w:val="24"/>
          <w:highlight w:val="yellow"/>
        </w:rPr>
        <w:t>, permitindo a visualização por qualquer interessado.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DÉCIMO SEXTO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administração pública apreciará a prestação final de contas no prazo de até 150 (cento e cinquenta) dias, contado da data de seu recebimento ou do cumprimento de diligência por ela determinada, prorrogável, justificadamente, por igual período.</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DÉCIMA – RECURSOS HUMANOS</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Poderá ser paga com recursos da parceria a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832F6B" w:rsidRDefault="00832F6B">
      <w:pPr>
        <w:pStyle w:val="normal0"/>
        <w:spacing w:line="240" w:lineRule="auto"/>
        <w:ind w:left="-141" w:right="286"/>
        <w:jc w:val="both"/>
        <w:rPr>
          <w:rFonts w:ascii="Times New Roman" w:eastAsia="Times New Roman" w:hAnsi="Times New Roman" w:cs="Times New Roman"/>
          <w:b/>
          <w:sz w:val="24"/>
          <w:szCs w:val="24"/>
        </w:rPr>
      </w:pPr>
    </w:p>
    <w:p w:rsidR="00832F6B" w:rsidRDefault="00832F6B">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PARÁGRAFO PRIMEIRO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despesas com remuneração de equipe previstas no plano de trabalho são proporcionais ao tempo efetivamente dedicado à parceria, assim como compatíveis com o valor de mercado e observam os acordos e convenções coletivas de trabalho e, em seu valor bruto e individual, o teto da remuneração do Poder Executivo Estadual.</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SEGUNDO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casos em que a remuneração for paga proporcionalmente com recursos da parceria, a OSC deverá demonstrar na prestação de contas a memória de cálculo do rateio da despesa, vedada a duplicidade ou a sobreposição de fontes de recursos no custeio de uma mesma parcela da despesa.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TERCEIRO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pagamento das verbas rescisórias, ainda que após o término da execução da parceria, será proporcional ao período de atuação do profissional na execução das metas previstas no Plano de Trabalho.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QUARTO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contratação de pessoal para execução da parceria será precedida de processo seletivo, observadas a publicidade e a impessoalidade.</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QUINTO</w:t>
      </w: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 pagamento de remuneração de pessoal contratado pela OSC com recursos da parceria não gera vínculo trabalhista com o poder público.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SEXTO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Fica vedada à administração pública a prática de atos de ingerência direta na seleção e na contratação de pessoal pela OSC ou que direcione o recrutamento de pessoas para trabalhar ou prestar serviços na referida organização.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DÉCIMA PRIMEIRA – DOS BENS</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after="120"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a vigência da parceria, os equipamentos e materiais permanentes adquiridos com recursos provenientes da celebração da parceria serão gravados com cláusula de inalienabilidade, e, na hipótese de extinção da OSC, esta deverá formalizar promessa de transferência da propriedade à administração pública.</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PRIMEIRO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bens e direitos remanescentes que, em razão da execução da parceria, tenham sido adquiridos, produzidos ou transformados com recursos repassados pela administração pública serão, na data da conclusão ou extinção do Termo de Colaboração, de titularidade da ___________________ </w:t>
      </w:r>
      <w:r>
        <w:rPr>
          <w:rFonts w:ascii="Times New Roman" w:eastAsia="Times New Roman" w:hAnsi="Times New Roman" w:cs="Times New Roman"/>
          <w:color w:val="808080"/>
          <w:sz w:val="24"/>
          <w:szCs w:val="24"/>
        </w:rPr>
        <w:t>[da OSC ou do órgão ou entidade da administração pública]</w:t>
      </w:r>
      <w:r>
        <w:rPr>
          <w:rFonts w:ascii="Times New Roman" w:eastAsia="Times New Roman" w:hAnsi="Times New Roman" w:cs="Times New Roman"/>
          <w:sz w:val="24"/>
          <w:szCs w:val="24"/>
        </w:rPr>
        <w:t>.</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after="120"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Caso a parceria não tenha previsão de aquisição de bens, esta cláusula deverá ser excluída</w:t>
      </w:r>
      <w:r>
        <w:rPr>
          <w:rFonts w:ascii="Times New Roman" w:eastAsia="Times New Roman" w:hAnsi="Times New Roman" w:cs="Times New Roman"/>
          <w:sz w:val="24"/>
          <w:szCs w:val="24"/>
        </w:rPr>
        <w:t>.</w:t>
      </w:r>
    </w:p>
    <w:p w:rsidR="00645C9E" w:rsidRDefault="009961F9">
      <w:pPr>
        <w:pStyle w:val="normal0"/>
        <w:pBdr>
          <w:top w:val="single" w:sz="4" w:space="1" w:color="000000"/>
          <w:left w:val="single" w:sz="4" w:space="4" w:color="000000"/>
          <w:bottom w:val="single" w:sz="4" w:space="1" w:color="000000"/>
          <w:right w:val="single" w:sz="4" w:space="4" w:color="000000"/>
        </w:pBdr>
        <w:spacing w:after="120"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O órgão ou entidade deverá definir a titularidade destes bens no Termo de Colaboração, de acordo com art. 42, inciso X, da Lei nº 13.019/2014:</w:t>
      </w:r>
    </w:p>
    <w:p w:rsidR="00645C9E" w:rsidRDefault="009961F9">
      <w:pPr>
        <w:pStyle w:val="normal0"/>
        <w:pBdr>
          <w:top w:val="single" w:sz="4" w:space="1" w:color="000000"/>
          <w:left w:val="single" w:sz="4" w:space="4" w:color="000000"/>
          <w:bottom w:val="single" w:sz="4" w:space="1" w:color="000000"/>
          <w:right w:val="single" w:sz="4" w:space="4" w:color="000000"/>
        </w:pBdr>
        <w:spacing w:after="120"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              “a definição, se for o caso, da titularidade dos bens e direitos remanescentes na data da conclusão ou extinção da parceria e que, em razão de sua execução, tenham sido adquiridos, produzidos ou transformados com recursos repassados pela administração pública”.</w:t>
      </w:r>
    </w:p>
    <w:p w:rsidR="00645C9E" w:rsidRDefault="009961F9">
      <w:pPr>
        <w:pStyle w:val="normal0"/>
        <w:pBdr>
          <w:top w:val="single" w:sz="4" w:space="1" w:color="000000"/>
          <w:left w:val="single" w:sz="4" w:space="4" w:color="000000"/>
          <w:bottom w:val="single" w:sz="4" w:space="1" w:color="000000"/>
          <w:right w:val="single" w:sz="4" w:space="4" w:color="000000"/>
        </w:pBdr>
        <w:spacing w:after="120"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 titularidade dos bens remanescentes, no final da parceria, será definida:</w:t>
      </w:r>
    </w:p>
    <w:p w:rsidR="00645C9E" w:rsidRDefault="009961F9">
      <w:pPr>
        <w:pStyle w:val="normal0"/>
        <w:pBdr>
          <w:top w:val="single" w:sz="4" w:space="1" w:color="000000"/>
          <w:left w:val="single" w:sz="4" w:space="4" w:color="000000"/>
          <w:bottom w:val="single" w:sz="4" w:space="1" w:color="000000"/>
          <w:right w:val="single" w:sz="4" w:space="4" w:color="000000"/>
        </w:pBdr>
        <w:spacing w:after="120"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 para o órgão ou a entidade da administração pública, quando necessários para assegurar a continuidade do objeto pactuado, seja por meio da celebração de nova parceria, seja pela execução direta do objeto pela administração pública;</w:t>
      </w:r>
    </w:p>
    <w:p w:rsidR="00645C9E" w:rsidRDefault="009961F9">
      <w:pPr>
        <w:pStyle w:val="normal0"/>
        <w:pBdr>
          <w:top w:val="single" w:sz="4" w:space="1" w:color="000000"/>
          <w:left w:val="single" w:sz="4" w:space="4" w:color="000000"/>
          <w:bottom w:val="single" w:sz="4" w:space="1" w:color="000000"/>
          <w:right w:val="single" w:sz="4" w:space="4" w:color="000000"/>
        </w:pBdr>
        <w:spacing w:after="120"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 xml:space="preserve">b) para a OSC quando os bens forem úteis à execução de ações de interesse social pela organização. </w:t>
      </w:r>
    </w:p>
    <w:p w:rsidR="00645C9E" w:rsidRDefault="009961F9">
      <w:pPr>
        <w:pStyle w:val="normal0"/>
        <w:pBdr>
          <w:top w:val="single" w:sz="4" w:space="1" w:color="000000"/>
          <w:left w:val="single" w:sz="4" w:space="4" w:color="000000"/>
          <w:bottom w:val="single" w:sz="4" w:space="1" w:color="000000"/>
          <w:right w:val="single" w:sz="4" w:space="4" w:color="000000"/>
        </w:pBdr>
        <w:spacing w:after="120"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Ao final da vigência da parceria, o bem deverá ser avaliado pela administração pública.</w:t>
      </w:r>
    </w:p>
    <w:p w:rsidR="00645C9E" w:rsidRDefault="009961F9">
      <w:pPr>
        <w:pStyle w:val="normal0"/>
        <w:pBdr>
          <w:top w:val="single" w:sz="4" w:space="1" w:color="000000"/>
          <w:left w:val="single" w:sz="4" w:space="4" w:color="000000"/>
          <w:bottom w:val="single" w:sz="4" w:space="1" w:color="000000"/>
          <w:right w:val="single" w:sz="4" w:space="4" w:color="000000"/>
        </w:pBdr>
        <w:spacing w:after="120" w:line="240" w:lineRule="auto"/>
        <w:ind w:left="-141" w:right="28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O Gestor da parceria deverá observar os procedimentos de controle e destinação de bens permanentes adquiridos com recursos decorrentes de parcerias.</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SEGUNDO</w:t>
      </w:r>
    </w:p>
    <w:p w:rsidR="00645C9E" w:rsidRDefault="009961F9">
      <w:pPr>
        <w:pStyle w:val="normal0"/>
        <w:spacing w:after="120"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São bens remanescentes os de natureza permanente adquiridos com recursos financeiros envolvidos na parceria, necessários à consecução do objeto, mas que a ele não se incorporam.</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TERCEIRO</w:t>
      </w:r>
    </w:p>
    <w:p w:rsidR="00645C9E" w:rsidRDefault="009961F9">
      <w:pPr>
        <w:pStyle w:val="normal0"/>
        <w:spacing w:after="120" w:line="240" w:lineRule="auto"/>
        <w:ind w:left="-141" w:right="286"/>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A OSC deverá, a partir da data da apresentação da prestação de contas final, disponibilizar os bens para a administração pública, que, se for o caso, deverá retirá-los, no prazo de até ______ (      ) dias, excetuados os bens remanescentes destinados a OSC. </w:t>
      </w:r>
    </w:p>
    <w:p w:rsidR="00645C9E" w:rsidRDefault="009961F9">
      <w:pPr>
        <w:pStyle w:val="normal0"/>
        <w:pBdr>
          <w:top w:val="single" w:sz="4" w:space="1" w:color="000000"/>
          <w:left w:val="single" w:sz="4" w:space="4" w:color="000000"/>
          <w:bottom w:val="single" w:sz="4" w:space="0" w:color="000000"/>
          <w:right w:val="single" w:sz="4" w:space="4" w:color="000000"/>
        </w:pBdr>
        <w:spacing w:after="120"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O prazo para a retirada dos bens será definido pelo órgão ou entidade da administração pública, observando o prazo máximo de 90 (noventa) dias.</w:t>
      </w:r>
    </w:p>
    <w:p w:rsidR="00645C9E" w:rsidRDefault="009961F9">
      <w:pPr>
        <w:pStyle w:val="normal0"/>
        <w:pBdr>
          <w:top w:val="single" w:sz="4" w:space="1" w:color="000000"/>
          <w:left w:val="single" w:sz="4" w:space="4" w:color="000000"/>
          <w:bottom w:val="single" w:sz="4" w:space="0" w:color="000000"/>
          <w:right w:val="single" w:sz="4" w:space="4" w:color="000000"/>
        </w:pBdr>
        <w:spacing w:after="120"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Caso a titularidade dos bens remanescentes seja da Administração Pública na data da conclusão ou extinção do Termo de Colaboração deverá ser excluído o trecho “excetuados os bens remanescentes destinados a OSC”.</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DÉCIMA SEGUNDA – RESCISÃO DO TERMO DE COLABORAÇÃO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rescisão do Termo de Colaboração poderá ser efetivada: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42"/>
        </w:numPr>
        <w:tabs>
          <w:tab w:val="left" w:pos="520"/>
        </w:tabs>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ato unilateral da administração pública, na hipótese de:</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1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haver saneamento pela OSC de irregularidades na execução da parceria, após transcurso do prazo previsto para a regularização;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15"/>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Estado apresentar razões de interesse público para a rescisão, de alta relevância e amplo conhecimento.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42"/>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ato unilateral da OSC, na hipótese de:</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2"/>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atrasos dos repasses devidos pela administração pública, superiores a 90 (noventa) dias da data fixada para o repasse, cabendo à OSC notificar a administração, sem prejuízo da obrigatoriedade do Estado da Bahia arcar com as despesas incorridas pela OSC para execução do objeto da parceria;</w:t>
      </w:r>
    </w:p>
    <w:p w:rsidR="00645C9E" w:rsidRDefault="009961F9">
      <w:pPr>
        <w:pStyle w:val="normal0"/>
        <w:numPr>
          <w:ilvl w:val="0"/>
          <w:numId w:val="2"/>
        </w:numPr>
        <w:tabs>
          <w:tab w:val="left" w:pos="520"/>
        </w:tabs>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comprovado desequilíbrio econômico-financeiro do termo de colaboração, que inviabilize o cumprimento das metas estabelecidas no Plano de Trabalho, sem que tenha havido a repactuação da avença.</w:t>
      </w:r>
    </w:p>
    <w:p w:rsidR="00645C9E" w:rsidRDefault="00645C9E">
      <w:pPr>
        <w:pStyle w:val="normal0"/>
        <w:spacing w:line="240" w:lineRule="auto"/>
        <w:ind w:left="-141" w:right="286"/>
        <w:rPr>
          <w:rFonts w:ascii="Times New Roman" w:eastAsia="Times New Roman" w:hAnsi="Times New Roman" w:cs="Times New Roman"/>
          <w:sz w:val="24"/>
          <w:szCs w:val="24"/>
        </w:rPr>
      </w:pPr>
    </w:p>
    <w:p w:rsidR="00645C9E" w:rsidRDefault="009961F9">
      <w:pPr>
        <w:pStyle w:val="normal0"/>
        <w:numPr>
          <w:ilvl w:val="0"/>
          <w:numId w:val="42"/>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acordo entre as partes reduzido a termo, tendo em vista o interesse público.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PRIMEIRO</w:t>
      </w:r>
    </w:p>
    <w:p w:rsidR="00645C9E" w:rsidRDefault="009961F9">
      <w:pPr>
        <w:pStyle w:val="normal0"/>
        <w:tabs>
          <w:tab w:val="left" w:pos="520"/>
        </w:tabs>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intenção da rescisão deverá ser formalizada no prazo mínimo de 60 (sessenta) dias antes da concretização do ato rescisório.</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SEGUNDO</w:t>
      </w:r>
    </w:p>
    <w:p w:rsidR="00645C9E" w:rsidRDefault="009961F9" w:rsidP="00832F6B">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hipótese de rescisão prevista no item a)  do inciso I, a autoridade competente da administração pública determinará a imediata instauração de tomada de contas especial e aplicará a sanção prevista no inciso II  do art. 73 da Lei nº. 13.019/2014.</w:t>
      </w:r>
    </w:p>
    <w:p w:rsidR="00645C9E" w:rsidRDefault="00645C9E" w:rsidP="00832F6B">
      <w:pPr>
        <w:pStyle w:val="normal0"/>
        <w:spacing w:line="240" w:lineRule="auto"/>
        <w:ind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DÉCIMA TERCEIRA – ENCERRAMENTO DA PARCERIA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final da sua vigência ou quando da sua rescisão, o Termo de Colaboração será considerado extinto devendo a administração e a OSC prosseguir com as medidas necessárias ao cumprimento das obrigações de encerramento elencadas no parágrafo primeiro desta cláusula.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PRIMEIRO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do encerramento deste Termo de Colaboração, independente dos motivos que o ocasionaram, deverá 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20"/>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OSC:</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36"/>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apresentar, no prazo máximo de __ (    ) dias   [no máximo 90 (noventa) dias de acordo com art. 69 caput e § 1º da Lei nº 13.019/2014], a Prestação de Contas Final do período de vigência do Termo de Colaboração;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Este prazo é o mesmo definido no item c, do parágrafo primeiro da clausula nona.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36"/>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devolver à administração pública os saldos financeiros remanescentes, inclusive os provenientes das receitas obtidas das aplicações financeiras no prazo improrrogável de 30 (trinta) dias, sob pena de imediata instauração de tomada de contas especial;</w:t>
      </w:r>
    </w:p>
    <w:p w:rsidR="00645C9E" w:rsidRDefault="009961F9">
      <w:pPr>
        <w:pStyle w:val="normal0"/>
        <w:numPr>
          <w:ilvl w:val="0"/>
          <w:numId w:val="36"/>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disponibilizar à administração pública todos os bens móveis e imóveis cujo uso lhe fora permitido pelos Termos de Permissão de Uso, bem como aqueles adquiridos em virtude do Termo de Colaboração.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0"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O inciso acima será mantido apenas nos casos em que, para a execução da parceria, a administração pública disponibilize bens públicos à OSC por meio de Termo de Permissão de Uso e quando a titularidade dos bens adquiridos não for destinada à OSC no final da parceria.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20"/>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 </w:t>
      </w:r>
      <w:r>
        <w:rPr>
          <w:rFonts w:ascii="Times New Roman" w:eastAsia="Times New Roman" w:hAnsi="Times New Roman" w:cs="Times New Roman"/>
          <w:color w:val="808080"/>
          <w:sz w:val="24"/>
          <w:szCs w:val="24"/>
        </w:rPr>
        <w:t>[órgão ou entidade da administração pública]</w:t>
      </w:r>
      <w:r>
        <w:rPr>
          <w:rFonts w:ascii="Times New Roman" w:eastAsia="Times New Roman" w:hAnsi="Times New Roman" w:cs="Times New Roman"/>
          <w:sz w:val="24"/>
          <w:szCs w:val="24"/>
        </w:rPr>
        <w:t>:</w:t>
      </w:r>
    </w:p>
    <w:p w:rsidR="00645C9E" w:rsidRDefault="009961F9">
      <w:pPr>
        <w:pStyle w:val="normal0"/>
        <w:numPr>
          <w:ilvl w:val="0"/>
          <w:numId w:val="9"/>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revogar a permissão de uso dos bens públicos;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0"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 xml:space="preserve">Nota: </w:t>
      </w:r>
      <w:r>
        <w:rPr>
          <w:rFonts w:ascii="Times New Roman" w:eastAsia="Times New Roman" w:hAnsi="Times New Roman" w:cs="Times New Roman"/>
          <w:sz w:val="24"/>
          <w:szCs w:val="24"/>
          <w:highlight w:val="yellow"/>
        </w:rPr>
        <w:t>O inciso acima será mantido apenas nos casos em que, para a execução da parceria, a administração pública disponibilize bens públicos à OSC por meio de Termo de Permissão de Uso e quando a titularidade dos bens adquiridos, no final da parceria, seja destinado à Administração Publica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9"/>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inventariar os bens sob responsabilidade da OSC para execução do objeto contratado, inclusive incorporando ao patrimônio público aqueles adquiridos em virtude do Termo de Colaboração.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numPr>
          <w:ilvl w:val="0"/>
          <w:numId w:val="9"/>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apreciar a prestação de contas final apresentada pela OSC no prazo de até 150 (cento e cinqüenta) dias contados da data do seu recebimento ou do cumprimento de diligência por ela determinada, podendo o prazo ser prorrogado justificadamente por igual período.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SEGUNDO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partes deverão assinar o Termo de Encerramento do Termo de Colaboração que deverá conter a data efetiva de encerramento das atividades, declaração de devolução dos bens permitidos pela administração pública e de cumprimento dos compromissos assumidos pela OSC.</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Caso não haja permissão de bens para a OSC, o texto correspondente deverá ser excluído do parágrafo acima.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tabs>
          <w:tab w:val="center" w:pos="4819"/>
        </w:tabs>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DÉCIMA QUARTA – SANÇÕES</w:t>
      </w:r>
    </w:p>
    <w:p w:rsidR="00645C9E" w:rsidRDefault="00645C9E">
      <w:pPr>
        <w:pStyle w:val="normal0"/>
        <w:tabs>
          <w:tab w:val="center" w:pos="4819"/>
        </w:tabs>
        <w:spacing w:line="240" w:lineRule="auto"/>
        <w:ind w:left="-141" w:right="286"/>
        <w:jc w:val="both"/>
        <w:rPr>
          <w:rFonts w:ascii="Times New Roman" w:eastAsia="Times New Roman" w:hAnsi="Times New Roman" w:cs="Times New Roman"/>
          <w:b/>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 execução da parceria em desacordo com o plano de trabalho e com as normas da Lei nº. 13.019/2014 e da legislação específica, a administração pública poderá, garantida a prévia defesa, aplicar à OSC as seguintes sanções: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advertência;</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suspensão temporária da participação em chamamento público e impedimento de celebrar parceria ou contrato com órgãos e entidades da esfera de governo da administração pública sancionadora, por prazo não superior a 02 (dois anos);           </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item b.  </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PRIMEIRO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sanções estabelecidas nos itens b e c são de competência exclusiva de Secretário Estadual, facultada a defesa do interessado no respectivo processo, no prazo de 10 (dez) dias da abertura de vista, podendo a reabilitação ser requerida após dois anos de aplicação da penalidade.</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SEGUNDO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Prescreve em cinco anos, contados a partir da data da apresentação da prestação de contas, a aplicação de penalidade decorrente de infração relacionada à execução da parceria.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TERCEIRO</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prescrição será interrompida com a edição de ato administrativo voltado à apuração da infração.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DÉCIMA QUINTA – DISPOSIÇÕES GERAIS</w:t>
      </w:r>
    </w:p>
    <w:p w:rsidR="00645C9E" w:rsidRDefault="00645C9E">
      <w:pPr>
        <w:pStyle w:val="normal0"/>
        <w:spacing w:line="240" w:lineRule="auto"/>
        <w:ind w:left="-141" w:right="286"/>
        <w:jc w:val="both"/>
        <w:rPr>
          <w:rFonts w:ascii="Times New Roman" w:eastAsia="Times New Roman" w:hAnsi="Times New Roman" w:cs="Times New Roman"/>
          <w:b/>
          <w:sz w:val="24"/>
          <w:szCs w:val="24"/>
        </w:rPr>
      </w:pPr>
    </w:p>
    <w:p w:rsidR="00645C9E" w:rsidRDefault="009961F9">
      <w:pPr>
        <w:pStyle w:val="normal0"/>
        <w:numPr>
          <w:ilvl w:val="0"/>
          <w:numId w:val="21"/>
        </w:numPr>
        <w:tabs>
          <w:tab w:val="left" w:pos="993"/>
          <w:tab w:val="left" w:pos="9540"/>
        </w:tabs>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administração pública poderá assumir ou transferir a responsabilidade pela execução do objeto, no caso de paralisação, de modo a evitar sua descontinuidade</w:t>
      </w:r>
    </w:p>
    <w:p w:rsidR="00645C9E" w:rsidRDefault="00645C9E">
      <w:pPr>
        <w:pStyle w:val="normal0"/>
        <w:spacing w:line="240" w:lineRule="auto"/>
        <w:ind w:left="-141" w:right="286"/>
        <w:rPr>
          <w:rFonts w:ascii="Times New Roman" w:eastAsia="Times New Roman" w:hAnsi="Times New Roman" w:cs="Times New Roman"/>
          <w:sz w:val="24"/>
          <w:szCs w:val="24"/>
        </w:rPr>
      </w:pPr>
    </w:p>
    <w:p w:rsidR="00645C9E" w:rsidRDefault="009961F9">
      <w:pPr>
        <w:pStyle w:val="normal0"/>
        <w:numPr>
          <w:ilvl w:val="0"/>
          <w:numId w:val="21"/>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qualquer hipótese é assegurado à OSC amplo direito de defesa, nos termos da Constituição Federal, sem que decorra direito a indenização.</w:t>
      </w:r>
    </w:p>
    <w:p w:rsidR="00645C9E" w:rsidRDefault="00645C9E">
      <w:pPr>
        <w:pStyle w:val="normal0"/>
        <w:spacing w:line="240" w:lineRule="auto"/>
        <w:ind w:left="-141" w:right="286"/>
        <w:rPr>
          <w:rFonts w:ascii="Times New Roman" w:eastAsia="Times New Roman" w:hAnsi="Times New Roman" w:cs="Times New Roman"/>
          <w:sz w:val="24"/>
          <w:szCs w:val="24"/>
        </w:rPr>
      </w:pPr>
    </w:p>
    <w:p w:rsidR="00645C9E" w:rsidRDefault="009961F9">
      <w:pPr>
        <w:pStyle w:val="normal0"/>
        <w:numPr>
          <w:ilvl w:val="0"/>
          <w:numId w:val="21"/>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Aplicam-se os dispositivos, no que couber, a Lei nº 13.019/2014 que não foram mencionados neste instrumento.</w:t>
      </w:r>
    </w:p>
    <w:p w:rsidR="00645C9E" w:rsidRDefault="00645C9E">
      <w:pPr>
        <w:pStyle w:val="normal0"/>
        <w:spacing w:line="240" w:lineRule="auto"/>
        <w:ind w:left="-141" w:right="286"/>
        <w:rPr>
          <w:rFonts w:ascii="Times New Roman" w:eastAsia="Times New Roman" w:hAnsi="Times New Roman" w:cs="Times New Roman"/>
          <w:sz w:val="24"/>
          <w:szCs w:val="24"/>
        </w:rPr>
      </w:pPr>
    </w:p>
    <w:p w:rsidR="00645C9E" w:rsidRDefault="009961F9">
      <w:pPr>
        <w:pStyle w:val="normal0"/>
        <w:numPr>
          <w:ilvl w:val="0"/>
          <w:numId w:val="21"/>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termo poderá ser denunciado a qualquer tempo.</w:t>
      </w:r>
    </w:p>
    <w:p w:rsidR="00645C9E" w:rsidRDefault="00645C9E">
      <w:pPr>
        <w:pStyle w:val="normal0"/>
        <w:spacing w:line="240" w:lineRule="auto"/>
        <w:ind w:left="-141" w:right="286"/>
        <w:rPr>
          <w:rFonts w:ascii="Times New Roman" w:eastAsia="Times New Roman" w:hAnsi="Times New Roman" w:cs="Times New Roman"/>
          <w:sz w:val="24"/>
          <w:szCs w:val="24"/>
        </w:rPr>
      </w:pPr>
    </w:p>
    <w:p w:rsidR="00645C9E" w:rsidRDefault="009961F9">
      <w:pPr>
        <w:pStyle w:val="normal0"/>
        <w:numPr>
          <w:ilvl w:val="0"/>
          <w:numId w:val="21"/>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Fica eleito o Foro do Município de Salvador, Estado da Bahia, que prevalecerá sobre qualquer outro, por mais privilegiado que seja, para dirimir quaisquer dúvidas decorrentes da execução da parceria, estabelecendo a obrigatoriedade da prévia tentativa de solução administrativa, com a participação de órgão encarregado de assessoramento jurídico integrante da estrutura da administração pública.</w:t>
      </w:r>
    </w:p>
    <w:p w:rsidR="00645C9E" w:rsidRDefault="00645C9E">
      <w:pPr>
        <w:pStyle w:val="normal0"/>
        <w:spacing w:line="240" w:lineRule="auto"/>
        <w:ind w:left="-141" w:right="286"/>
        <w:rPr>
          <w:rFonts w:ascii="Times New Roman" w:eastAsia="Times New Roman" w:hAnsi="Times New Roman" w:cs="Times New Roman"/>
          <w:sz w:val="24"/>
          <w:szCs w:val="24"/>
        </w:rPr>
      </w:pPr>
    </w:p>
    <w:p w:rsidR="00645C9E" w:rsidRDefault="009961F9">
      <w:pPr>
        <w:pStyle w:val="normal0"/>
        <w:numPr>
          <w:ilvl w:val="0"/>
          <w:numId w:val="21"/>
        </w:numPr>
        <w:spacing w:line="240" w:lineRule="auto"/>
        <w:ind w:left="-141" w:right="28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por estarem assim plenamente de acordo, firmam o presente Termo de Colaboração em 02 (duas) vias de igual teor e forma na presença das testemunhas que subscrevem depois de lido e achado conforme.</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____ de ________ de 2024.</w:t>
      </w:r>
    </w:p>
    <w:p w:rsidR="00645C9E" w:rsidRDefault="00645C9E">
      <w:pPr>
        <w:pStyle w:val="normal0"/>
        <w:spacing w:line="240" w:lineRule="auto"/>
        <w:ind w:left="-141" w:right="-433"/>
        <w:jc w:val="center"/>
        <w:rPr>
          <w:rFonts w:ascii="Times New Roman" w:eastAsia="Times New Roman" w:hAnsi="Times New Roman" w:cs="Times New Roman"/>
          <w:sz w:val="24"/>
          <w:szCs w:val="24"/>
        </w:rPr>
      </w:pPr>
    </w:p>
    <w:p w:rsidR="00645C9E" w:rsidRDefault="00645C9E">
      <w:pPr>
        <w:pStyle w:val="normal0"/>
        <w:spacing w:line="240" w:lineRule="auto"/>
        <w:ind w:left="-141" w:right="-433"/>
        <w:jc w:val="center"/>
        <w:rPr>
          <w:rFonts w:ascii="Times New Roman" w:eastAsia="Times New Roman" w:hAnsi="Times New Roman" w:cs="Times New Roman"/>
          <w:sz w:val="24"/>
          <w:szCs w:val="24"/>
        </w:rPr>
      </w:pPr>
    </w:p>
    <w:p w:rsidR="00645C9E" w:rsidRDefault="00645C9E">
      <w:pPr>
        <w:pStyle w:val="normal0"/>
        <w:spacing w:line="240" w:lineRule="auto"/>
        <w:ind w:left="-141" w:right="-433"/>
        <w:jc w:val="center"/>
        <w:rPr>
          <w:rFonts w:ascii="Times New Roman" w:eastAsia="Times New Roman" w:hAnsi="Times New Roman" w:cs="Times New Roman"/>
          <w:sz w:val="24"/>
          <w:szCs w:val="24"/>
        </w:rPr>
      </w:pPr>
    </w:p>
    <w:tbl>
      <w:tblPr>
        <w:tblStyle w:val="affc"/>
        <w:tblW w:w="9072" w:type="dxa"/>
        <w:tblInd w:w="0" w:type="dxa"/>
        <w:tblLayout w:type="fixed"/>
        <w:tblLook w:val="0000"/>
      </w:tblPr>
      <w:tblGrid>
        <w:gridCol w:w="4111"/>
        <w:gridCol w:w="567"/>
        <w:gridCol w:w="4394"/>
      </w:tblGrid>
      <w:tr w:rsidR="00645C9E">
        <w:trPr>
          <w:cantSplit/>
          <w:trHeight w:val="160"/>
          <w:tblHeader/>
        </w:trPr>
        <w:tc>
          <w:tcPr>
            <w:tcW w:w="4111" w:type="dxa"/>
            <w:tcBorders>
              <w:top w:val="single" w:sz="4" w:space="0" w:color="000000"/>
            </w:tcBorders>
          </w:tcPr>
          <w:p w:rsidR="00645C9E" w:rsidRDefault="009961F9">
            <w:pPr>
              <w:pStyle w:val="normal0"/>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[ÓRGÃO OU ENTIDADE DA ADMINISTRAÇÃO PÚBLICA]</w:t>
            </w:r>
          </w:p>
          <w:p w:rsidR="00645C9E" w:rsidRDefault="00645C9E">
            <w:pPr>
              <w:pStyle w:val="normal0"/>
              <w:pBdr>
                <w:bottom w:val="none" w:sz="0" w:space="0" w:color="000000"/>
              </w:pBdr>
              <w:spacing w:line="240" w:lineRule="auto"/>
              <w:ind w:left="-141" w:right="-433"/>
              <w:jc w:val="center"/>
              <w:rPr>
                <w:rFonts w:ascii="Times New Roman" w:eastAsia="Times New Roman" w:hAnsi="Times New Roman" w:cs="Times New Roman"/>
                <w:b/>
                <w:sz w:val="24"/>
                <w:szCs w:val="24"/>
              </w:rPr>
            </w:pPr>
          </w:p>
        </w:tc>
        <w:tc>
          <w:tcPr>
            <w:tcW w:w="567" w:type="dxa"/>
          </w:tcPr>
          <w:p w:rsidR="00645C9E" w:rsidRDefault="00645C9E">
            <w:pPr>
              <w:pStyle w:val="normal0"/>
              <w:spacing w:line="240" w:lineRule="auto"/>
              <w:ind w:left="-141" w:right="-433"/>
              <w:jc w:val="both"/>
              <w:rPr>
                <w:rFonts w:ascii="Times New Roman" w:eastAsia="Times New Roman" w:hAnsi="Times New Roman" w:cs="Times New Roman"/>
                <w:b/>
                <w:sz w:val="24"/>
                <w:szCs w:val="24"/>
              </w:rPr>
            </w:pPr>
          </w:p>
        </w:tc>
        <w:tc>
          <w:tcPr>
            <w:tcW w:w="4394" w:type="dxa"/>
            <w:tcBorders>
              <w:top w:val="single" w:sz="4" w:space="0" w:color="000000"/>
            </w:tcBorders>
          </w:tcPr>
          <w:p w:rsidR="00645C9E" w:rsidRDefault="009961F9">
            <w:pPr>
              <w:pStyle w:val="normal0"/>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 DA ORGANIZAÇÃO DA SOCIEDADE CIVIL]</w:t>
            </w:r>
          </w:p>
        </w:tc>
      </w:tr>
      <w:tr w:rsidR="00645C9E">
        <w:trPr>
          <w:cantSplit/>
          <w:trHeight w:val="300"/>
          <w:tblHeader/>
        </w:trPr>
        <w:tc>
          <w:tcPr>
            <w:tcW w:w="4111" w:type="dxa"/>
            <w:tcBorders>
              <w:top w:val="single" w:sz="4" w:space="0" w:color="000000"/>
            </w:tcBorders>
          </w:tcPr>
          <w:p w:rsidR="00645C9E" w:rsidRDefault="009961F9">
            <w:pPr>
              <w:pStyle w:val="normal0"/>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Testemunhas</w:t>
            </w:r>
          </w:p>
        </w:tc>
        <w:tc>
          <w:tcPr>
            <w:tcW w:w="567" w:type="dxa"/>
          </w:tcPr>
          <w:p w:rsidR="00645C9E" w:rsidRDefault="00645C9E">
            <w:pPr>
              <w:pStyle w:val="normal0"/>
              <w:spacing w:line="240" w:lineRule="auto"/>
              <w:ind w:left="-141" w:right="-433"/>
              <w:jc w:val="both"/>
              <w:rPr>
                <w:rFonts w:ascii="Times New Roman" w:eastAsia="Times New Roman" w:hAnsi="Times New Roman" w:cs="Times New Roman"/>
                <w:b/>
                <w:sz w:val="24"/>
                <w:szCs w:val="24"/>
              </w:rPr>
            </w:pPr>
          </w:p>
        </w:tc>
        <w:tc>
          <w:tcPr>
            <w:tcW w:w="4394" w:type="dxa"/>
            <w:tcBorders>
              <w:top w:val="single" w:sz="4" w:space="0" w:color="000000"/>
            </w:tcBorders>
          </w:tcPr>
          <w:p w:rsidR="00645C9E" w:rsidRDefault="009961F9">
            <w:pPr>
              <w:pStyle w:val="normal0"/>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Testemunhas</w:t>
            </w:r>
          </w:p>
        </w:tc>
      </w:tr>
    </w:tbl>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832F6B" w:rsidRDefault="00832F6B">
      <w:pPr>
        <w:pStyle w:val="normal0"/>
        <w:spacing w:line="240" w:lineRule="auto"/>
        <w:ind w:left="-141" w:right="802"/>
        <w:rPr>
          <w:rFonts w:ascii="Times New Roman" w:eastAsia="Times New Roman" w:hAnsi="Times New Roman" w:cs="Times New Roman"/>
          <w:sz w:val="24"/>
          <w:szCs w:val="24"/>
        </w:rPr>
      </w:pPr>
    </w:p>
    <w:p w:rsidR="00645C9E" w:rsidRDefault="00645C9E" w:rsidP="004A32F8">
      <w:pPr>
        <w:pStyle w:val="normal0"/>
        <w:spacing w:line="240" w:lineRule="auto"/>
        <w:ind w:right="802"/>
        <w:rPr>
          <w:rFonts w:ascii="Times New Roman" w:eastAsia="Times New Roman" w:hAnsi="Times New Roman" w:cs="Times New Roman"/>
          <w:sz w:val="24"/>
          <w:szCs w:val="24"/>
        </w:rPr>
      </w:pPr>
    </w:p>
    <w:p w:rsidR="004A32F8" w:rsidRDefault="004A32F8" w:rsidP="004A32F8">
      <w:pPr>
        <w:pStyle w:val="normal0"/>
        <w:spacing w:line="240" w:lineRule="auto"/>
        <w:ind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sectPr w:rsidR="00645C9E" w:rsidSect="00645C9E">
      <w:pgSz w:w="11909" w:h="16834"/>
      <w:pgMar w:top="1380" w:right="720" w:bottom="280" w:left="127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B84" w:rsidRDefault="00A12B84" w:rsidP="00645C9E">
      <w:pPr>
        <w:spacing w:line="240" w:lineRule="auto"/>
      </w:pPr>
      <w:r>
        <w:separator/>
      </w:r>
    </w:p>
  </w:endnote>
  <w:endnote w:type="continuationSeparator" w:id="1">
    <w:p w:rsidR="00A12B84" w:rsidRDefault="00A12B84" w:rsidP="00645C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B84" w:rsidRDefault="00A12B84" w:rsidP="00645C9E">
      <w:pPr>
        <w:spacing w:line="240" w:lineRule="auto"/>
      </w:pPr>
      <w:r>
        <w:separator/>
      </w:r>
    </w:p>
  </w:footnote>
  <w:footnote w:type="continuationSeparator" w:id="1">
    <w:p w:rsidR="00A12B84" w:rsidRDefault="00A12B84" w:rsidP="00645C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1FB8"/>
    <w:multiLevelType w:val="multilevel"/>
    <w:tmpl w:val="2FAE8C9E"/>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
    <w:nsid w:val="046F4330"/>
    <w:multiLevelType w:val="multilevel"/>
    <w:tmpl w:val="B8D4173E"/>
    <w:lvl w:ilvl="0">
      <w:start w:val="1"/>
      <w:numFmt w:val="upperLetter"/>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2">
    <w:nsid w:val="06C44C27"/>
    <w:multiLevelType w:val="multilevel"/>
    <w:tmpl w:val="98625EBA"/>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0A40A3"/>
    <w:multiLevelType w:val="multilevel"/>
    <w:tmpl w:val="F8986DDC"/>
    <w:lvl w:ilvl="0">
      <w:start w:val="1"/>
      <w:numFmt w:val="decimal"/>
      <w:lvlText w:val="%1."/>
      <w:lvlJc w:val="left"/>
      <w:pPr>
        <w:ind w:left="1300" w:hanging="360"/>
      </w:pPr>
      <w:rPr>
        <w:rFonts w:ascii="Calibri" w:eastAsia="Calibri" w:hAnsi="Calibri" w:cs="Calibri"/>
        <w:sz w:val="22"/>
        <w:szCs w:val="22"/>
      </w:rPr>
    </w:lvl>
    <w:lvl w:ilvl="1">
      <w:numFmt w:val="bullet"/>
      <w:lvlText w:val="•"/>
      <w:lvlJc w:val="left"/>
      <w:pPr>
        <w:ind w:left="2174" w:hanging="360"/>
      </w:pPr>
    </w:lvl>
    <w:lvl w:ilvl="2">
      <w:numFmt w:val="bullet"/>
      <w:lvlText w:val="•"/>
      <w:lvlJc w:val="left"/>
      <w:pPr>
        <w:ind w:left="3048" w:hanging="360"/>
      </w:pPr>
    </w:lvl>
    <w:lvl w:ilvl="3">
      <w:numFmt w:val="bullet"/>
      <w:lvlText w:val="•"/>
      <w:lvlJc w:val="left"/>
      <w:pPr>
        <w:ind w:left="3922" w:hanging="360"/>
      </w:pPr>
    </w:lvl>
    <w:lvl w:ilvl="4">
      <w:numFmt w:val="bullet"/>
      <w:lvlText w:val="•"/>
      <w:lvlJc w:val="left"/>
      <w:pPr>
        <w:ind w:left="4796" w:hanging="360"/>
      </w:pPr>
    </w:lvl>
    <w:lvl w:ilvl="5">
      <w:numFmt w:val="bullet"/>
      <w:lvlText w:val="•"/>
      <w:lvlJc w:val="left"/>
      <w:pPr>
        <w:ind w:left="5670" w:hanging="360"/>
      </w:pPr>
    </w:lvl>
    <w:lvl w:ilvl="6">
      <w:numFmt w:val="bullet"/>
      <w:lvlText w:val="•"/>
      <w:lvlJc w:val="left"/>
      <w:pPr>
        <w:ind w:left="6544" w:hanging="360"/>
      </w:pPr>
    </w:lvl>
    <w:lvl w:ilvl="7">
      <w:numFmt w:val="bullet"/>
      <w:lvlText w:val="•"/>
      <w:lvlJc w:val="left"/>
      <w:pPr>
        <w:ind w:left="7418" w:hanging="360"/>
      </w:pPr>
    </w:lvl>
    <w:lvl w:ilvl="8">
      <w:numFmt w:val="bullet"/>
      <w:lvlText w:val="•"/>
      <w:lvlJc w:val="left"/>
      <w:pPr>
        <w:ind w:left="8292" w:hanging="360"/>
      </w:pPr>
    </w:lvl>
  </w:abstractNum>
  <w:abstractNum w:abstractNumId="4">
    <w:nsid w:val="07AD15E3"/>
    <w:multiLevelType w:val="multilevel"/>
    <w:tmpl w:val="9322FDE2"/>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
    <w:nsid w:val="09256E54"/>
    <w:multiLevelType w:val="multilevel"/>
    <w:tmpl w:val="C60C75F4"/>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057A9B"/>
    <w:multiLevelType w:val="multilevel"/>
    <w:tmpl w:val="AF7A8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F6A793D"/>
    <w:multiLevelType w:val="multilevel"/>
    <w:tmpl w:val="F7DC508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266854"/>
    <w:multiLevelType w:val="multilevel"/>
    <w:tmpl w:val="7A64CC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13043913"/>
    <w:multiLevelType w:val="multilevel"/>
    <w:tmpl w:val="9B0A691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7D1546"/>
    <w:multiLevelType w:val="multilevel"/>
    <w:tmpl w:val="9A2C2D8C"/>
    <w:lvl w:ilvl="0">
      <w:start w:val="1"/>
      <w:numFmt w:val="decimal"/>
      <w:lvlText w:val="%1."/>
      <w:lvlJc w:val="left"/>
      <w:pPr>
        <w:ind w:left="824" w:hanging="359"/>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11">
    <w:nsid w:val="21E63587"/>
    <w:multiLevelType w:val="multilevel"/>
    <w:tmpl w:val="9594FDA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2">
    <w:nsid w:val="22DD2DE0"/>
    <w:multiLevelType w:val="multilevel"/>
    <w:tmpl w:val="71C4C978"/>
    <w:lvl w:ilvl="0">
      <w:start w:val="1"/>
      <w:numFmt w:val="upperRoman"/>
      <w:lvlText w:val="%1."/>
      <w:lvlJc w:val="right"/>
      <w:pPr>
        <w:ind w:left="540" w:hanging="18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187180"/>
    <w:multiLevelType w:val="multilevel"/>
    <w:tmpl w:val="F8EE733C"/>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4">
    <w:nsid w:val="263C0622"/>
    <w:multiLevelType w:val="multilevel"/>
    <w:tmpl w:val="D1CE77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8E22305"/>
    <w:multiLevelType w:val="multilevel"/>
    <w:tmpl w:val="6A025D40"/>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6">
    <w:nsid w:val="2C8C249F"/>
    <w:multiLevelType w:val="multilevel"/>
    <w:tmpl w:val="57746388"/>
    <w:lvl w:ilvl="0">
      <w:start w:val="6"/>
      <w:numFmt w:val="decimal"/>
      <w:lvlText w:val="%1"/>
      <w:lvlJc w:val="left"/>
      <w:pPr>
        <w:ind w:left="360" w:hanging="360"/>
      </w:pPr>
      <w:rPr>
        <w:b w:val="0"/>
      </w:rPr>
    </w:lvl>
    <w:lvl w:ilvl="1">
      <w:start w:val="1"/>
      <w:numFmt w:val="decimal"/>
      <w:lvlText w:val="%1.%2"/>
      <w:lvlJc w:val="left"/>
      <w:pPr>
        <w:ind w:left="218" w:hanging="360"/>
      </w:pPr>
      <w:rPr>
        <w:rFonts w:ascii="Times New Roman" w:eastAsia="Times New Roman" w:hAnsi="Times New Roman" w:cs="Times New Roman"/>
        <w:b/>
      </w:rPr>
    </w:lvl>
    <w:lvl w:ilvl="2">
      <w:start w:val="1"/>
      <w:numFmt w:val="decimal"/>
      <w:lvlText w:val="%1.%2.%3"/>
      <w:lvlJc w:val="left"/>
      <w:pPr>
        <w:ind w:left="436" w:hanging="720"/>
      </w:pPr>
      <w:rPr>
        <w:b w:val="0"/>
      </w:rPr>
    </w:lvl>
    <w:lvl w:ilvl="3">
      <w:start w:val="1"/>
      <w:numFmt w:val="decimal"/>
      <w:lvlText w:val="%1.%2.%3.%4"/>
      <w:lvlJc w:val="left"/>
      <w:pPr>
        <w:ind w:left="294" w:hanging="720"/>
      </w:pPr>
      <w:rPr>
        <w:b w:val="0"/>
      </w:rPr>
    </w:lvl>
    <w:lvl w:ilvl="4">
      <w:start w:val="1"/>
      <w:numFmt w:val="decimal"/>
      <w:lvlText w:val="%1.%2.%3.%4.%5"/>
      <w:lvlJc w:val="left"/>
      <w:pPr>
        <w:ind w:left="512" w:hanging="1080"/>
      </w:pPr>
      <w:rPr>
        <w:b w:val="0"/>
      </w:rPr>
    </w:lvl>
    <w:lvl w:ilvl="5">
      <w:start w:val="1"/>
      <w:numFmt w:val="decimal"/>
      <w:lvlText w:val="%1.%2.%3.%4.%5.%6"/>
      <w:lvlJc w:val="left"/>
      <w:pPr>
        <w:ind w:left="370" w:hanging="1080"/>
      </w:pPr>
      <w:rPr>
        <w:b w:val="0"/>
      </w:rPr>
    </w:lvl>
    <w:lvl w:ilvl="6">
      <w:start w:val="1"/>
      <w:numFmt w:val="decimal"/>
      <w:lvlText w:val="%1.%2.%3.%4.%5.%6.%7"/>
      <w:lvlJc w:val="left"/>
      <w:pPr>
        <w:ind w:left="588" w:hanging="1440"/>
      </w:pPr>
      <w:rPr>
        <w:b w:val="0"/>
      </w:rPr>
    </w:lvl>
    <w:lvl w:ilvl="7">
      <w:start w:val="1"/>
      <w:numFmt w:val="decimal"/>
      <w:lvlText w:val="%1.%2.%3.%4.%5.%6.%7.%8"/>
      <w:lvlJc w:val="left"/>
      <w:pPr>
        <w:ind w:left="446" w:hanging="1440"/>
      </w:pPr>
      <w:rPr>
        <w:b w:val="0"/>
      </w:rPr>
    </w:lvl>
    <w:lvl w:ilvl="8">
      <w:start w:val="1"/>
      <w:numFmt w:val="decimal"/>
      <w:lvlText w:val="%1.%2.%3.%4.%5.%6.%7.%8.%9"/>
      <w:lvlJc w:val="left"/>
      <w:pPr>
        <w:ind w:left="664" w:hanging="1800"/>
      </w:pPr>
      <w:rPr>
        <w:b w:val="0"/>
      </w:rPr>
    </w:lvl>
  </w:abstractNum>
  <w:abstractNum w:abstractNumId="17">
    <w:nsid w:val="2D2D6501"/>
    <w:multiLevelType w:val="multilevel"/>
    <w:tmpl w:val="4E42CD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7A789F"/>
    <w:multiLevelType w:val="multilevel"/>
    <w:tmpl w:val="6E286240"/>
    <w:lvl w:ilvl="0">
      <w:start w:val="6"/>
      <w:numFmt w:val="decimal"/>
      <w:lvlText w:val="%1"/>
      <w:lvlJc w:val="left"/>
      <w:pPr>
        <w:ind w:left="360" w:hanging="360"/>
      </w:pPr>
      <w:rPr>
        <w:b w:val="0"/>
      </w:rPr>
    </w:lvl>
    <w:lvl w:ilvl="1">
      <w:start w:val="1"/>
      <w:numFmt w:val="decimal"/>
      <w:lvlText w:val="%1.%2"/>
      <w:lvlJc w:val="left"/>
      <w:pPr>
        <w:ind w:left="218" w:hanging="360"/>
      </w:pPr>
      <w:rPr>
        <w:rFonts w:ascii="Times New Roman" w:eastAsia="Times New Roman" w:hAnsi="Times New Roman" w:cs="Times New Roman"/>
        <w:b/>
      </w:rPr>
    </w:lvl>
    <w:lvl w:ilvl="2">
      <w:start w:val="1"/>
      <w:numFmt w:val="decimal"/>
      <w:lvlText w:val="%1.%2.%3"/>
      <w:lvlJc w:val="left"/>
      <w:pPr>
        <w:ind w:left="436" w:hanging="720"/>
      </w:pPr>
      <w:rPr>
        <w:b w:val="0"/>
      </w:rPr>
    </w:lvl>
    <w:lvl w:ilvl="3">
      <w:start w:val="1"/>
      <w:numFmt w:val="decimal"/>
      <w:lvlText w:val="%1.%2.%3.%4"/>
      <w:lvlJc w:val="left"/>
      <w:pPr>
        <w:ind w:left="294" w:hanging="720"/>
      </w:pPr>
      <w:rPr>
        <w:b w:val="0"/>
      </w:rPr>
    </w:lvl>
    <w:lvl w:ilvl="4">
      <w:start w:val="1"/>
      <w:numFmt w:val="decimal"/>
      <w:lvlText w:val="%1.%2.%3.%4.%5"/>
      <w:lvlJc w:val="left"/>
      <w:pPr>
        <w:ind w:left="512" w:hanging="1080"/>
      </w:pPr>
      <w:rPr>
        <w:b w:val="0"/>
      </w:rPr>
    </w:lvl>
    <w:lvl w:ilvl="5">
      <w:start w:val="1"/>
      <w:numFmt w:val="decimal"/>
      <w:lvlText w:val="%1.%2.%3.%4.%5.%6"/>
      <w:lvlJc w:val="left"/>
      <w:pPr>
        <w:ind w:left="370" w:hanging="1080"/>
      </w:pPr>
      <w:rPr>
        <w:b w:val="0"/>
      </w:rPr>
    </w:lvl>
    <w:lvl w:ilvl="6">
      <w:start w:val="1"/>
      <w:numFmt w:val="decimal"/>
      <w:lvlText w:val="%1.%2.%3.%4.%5.%6.%7"/>
      <w:lvlJc w:val="left"/>
      <w:pPr>
        <w:ind w:left="588" w:hanging="1440"/>
      </w:pPr>
      <w:rPr>
        <w:b w:val="0"/>
      </w:rPr>
    </w:lvl>
    <w:lvl w:ilvl="7">
      <w:start w:val="1"/>
      <w:numFmt w:val="decimal"/>
      <w:lvlText w:val="%1.%2.%3.%4.%5.%6.%7.%8"/>
      <w:lvlJc w:val="left"/>
      <w:pPr>
        <w:ind w:left="446" w:hanging="1440"/>
      </w:pPr>
      <w:rPr>
        <w:b w:val="0"/>
      </w:rPr>
    </w:lvl>
    <w:lvl w:ilvl="8">
      <w:start w:val="1"/>
      <w:numFmt w:val="decimal"/>
      <w:lvlText w:val="%1.%2.%3.%4.%5.%6.%7.%8.%9"/>
      <w:lvlJc w:val="left"/>
      <w:pPr>
        <w:ind w:left="664" w:hanging="1800"/>
      </w:pPr>
      <w:rPr>
        <w:b w:val="0"/>
      </w:rPr>
    </w:lvl>
  </w:abstractNum>
  <w:abstractNum w:abstractNumId="19">
    <w:nsid w:val="3EF90C5D"/>
    <w:multiLevelType w:val="multilevel"/>
    <w:tmpl w:val="DDCA43A2"/>
    <w:lvl w:ilvl="0">
      <w:start w:val="1"/>
      <w:numFmt w:val="upperRoman"/>
      <w:lvlText w:val="%1."/>
      <w:lvlJc w:val="righ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F9D2935"/>
    <w:multiLevelType w:val="multilevel"/>
    <w:tmpl w:val="FD3CAB98"/>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1">
    <w:nsid w:val="457738F8"/>
    <w:multiLevelType w:val="multilevel"/>
    <w:tmpl w:val="647668E8"/>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2">
    <w:nsid w:val="46317A42"/>
    <w:multiLevelType w:val="multilevel"/>
    <w:tmpl w:val="2B9AFDC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3">
    <w:nsid w:val="479D0F94"/>
    <w:multiLevelType w:val="multilevel"/>
    <w:tmpl w:val="8DF69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C0767B6"/>
    <w:multiLevelType w:val="multilevel"/>
    <w:tmpl w:val="50345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0D24AA1"/>
    <w:multiLevelType w:val="multilevel"/>
    <w:tmpl w:val="805CC224"/>
    <w:lvl w:ilvl="0">
      <w:start w:val="8"/>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6">
    <w:nsid w:val="53424881"/>
    <w:multiLevelType w:val="multilevel"/>
    <w:tmpl w:val="8716EE26"/>
    <w:lvl w:ilvl="0">
      <w:start w:val="1"/>
      <w:numFmt w:val="lowerLetter"/>
      <w:lvlText w:val="%1."/>
      <w:lvlJc w:val="left"/>
      <w:pPr>
        <w:ind w:left="1004"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592791D"/>
    <w:multiLevelType w:val="multilevel"/>
    <w:tmpl w:val="4F3642DA"/>
    <w:lvl w:ilvl="0">
      <w:start w:val="1"/>
      <w:numFmt w:val="upperRoman"/>
      <w:lvlText w:val="%1."/>
      <w:lvlJc w:val="right"/>
      <w:pPr>
        <w:ind w:left="540" w:hanging="180"/>
      </w:p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8">
    <w:nsid w:val="57343C81"/>
    <w:multiLevelType w:val="multilevel"/>
    <w:tmpl w:val="C4A8F98C"/>
    <w:lvl w:ilvl="0">
      <w:start w:val="1"/>
      <w:numFmt w:val="decimal"/>
      <w:lvlText w:val="%1."/>
      <w:lvlJc w:val="left"/>
      <w:pPr>
        <w:ind w:left="820"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9">
    <w:nsid w:val="58AA3D67"/>
    <w:multiLevelType w:val="multilevel"/>
    <w:tmpl w:val="8C2CEEA0"/>
    <w:lvl w:ilvl="0">
      <w:start w:val="7"/>
      <w:numFmt w:val="decimal"/>
      <w:lvlText w:val="%1."/>
      <w:lvlJc w:val="left"/>
      <w:pPr>
        <w:ind w:left="1695" w:hanging="216"/>
      </w:pPr>
      <w:rPr>
        <w:rFonts w:ascii="Calibri" w:eastAsia="Calibri" w:hAnsi="Calibri" w:cs="Calibri"/>
        <w:b/>
        <w:color w:val="000000"/>
        <w:sz w:val="22"/>
        <w:szCs w:val="22"/>
      </w:rPr>
    </w:lvl>
    <w:lvl w:ilvl="1">
      <w:start w:val="1"/>
      <w:numFmt w:val="decimal"/>
      <w:lvlText w:val="%1.%2"/>
      <w:lvlJc w:val="left"/>
      <w:pPr>
        <w:ind w:left="7965" w:hanging="451"/>
      </w:pPr>
      <w:rPr>
        <w:rFonts w:ascii="Times New Roman" w:eastAsia="Times New Roman" w:hAnsi="Times New Roman" w:cs="Times New Roman"/>
        <w:b w:val="0"/>
      </w:rPr>
    </w:lvl>
    <w:lvl w:ilvl="2">
      <w:numFmt w:val="bullet"/>
      <w:lvlText w:val="•"/>
      <w:lvlJc w:val="left"/>
      <w:pPr>
        <w:ind w:left="2120" w:hanging="451"/>
      </w:pPr>
    </w:lvl>
    <w:lvl w:ilvl="3">
      <w:numFmt w:val="bullet"/>
      <w:lvlText w:val="•"/>
      <w:lvlJc w:val="left"/>
      <w:pPr>
        <w:ind w:left="3332" w:hanging="451"/>
      </w:pPr>
    </w:lvl>
    <w:lvl w:ilvl="4">
      <w:numFmt w:val="bullet"/>
      <w:lvlText w:val="•"/>
      <w:lvlJc w:val="left"/>
      <w:pPr>
        <w:ind w:left="4545" w:hanging="451"/>
      </w:pPr>
    </w:lvl>
    <w:lvl w:ilvl="5">
      <w:numFmt w:val="bullet"/>
      <w:lvlText w:val="•"/>
      <w:lvlJc w:val="left"/>
      <w:pPr>
        <w:ind w:left="5757" w:hanging="451"/>
      </w:pPr>
    </w:lvl>
    <w:lvl w:ilvl="6">
      <w:numFmt w:val="bullet"/>
      <w:lvlText w:val="•"/>
      <w:lvlJc w:val="left"/>
      <w:pPr>
        <w:ind w:left="6970" w:hanging="451"/>
      </w:pPr>
    </w:lvl>
    <w:lvl w:ilvl="7">
      <w:numFmt w:val="bullet"/>
      <w:lvlText w:val="•"/>
      <w:lvlJc w:val="left"/>
      <w:pPr>
        <w:ind w:left="8182" w:hanging="451"/>
      </w:pPr>
    </w:lvl>
    <w:lvl w:ilvl="8">
      <w:numFmt w:val="bullet"/>
      <w:lvlText w:val="•"/>
      <w:lvlJc w:val="left"/>
      <w:pPr>
        <w:ind w:left="9395" w:hanging="451"/>
      </w:pPr>
    </w:lvl>
  </w:abstractNum>
  <w:abstractNum w:abstractNumId="30">
    <w:nsid w:val="59A43F91"/>
    <w:multiLevelType w:val="multilevel"/>
    <w:tmpl w:val="DF148C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BE1925"/>
    <w:multiLevelType w:val="multilevel"/>
    <w:tmpl w:val="BAA84AD6"/>
    <w:lvl w:ilvl="0">
      <w:start w:val="1"/>
      <w:numFmt w:val="decimal"/>
      <w:lvlText w:val="%1."/>
      <w:lvlJc w:val="left"/>
      <w:pPr>
        <w:ind w:left="1679" w:hanging="221"/>
      </w:pPr>
      <w:rPr>
        <w:rFonts w:ascii="Calibri" w:eastAsia="Calibri" w:hAnsi="Calibri" w:cs="Calibri"/>
        <w:sz w:val="22"/>
        <w:szCs w:val="22"/>
      </w:rPr>
    </w:lvl>
    <w:lvl w:ilvl="1">
      <w:start w:val="1"/>
      <w:numFmt w:val="lowerLetter"/>
      <w:lvlText w:val="%2)"/>
      <w:lvlJc w:val="left"/>
      <w:pPr>
        <w:ind w:left="2400" w:hanging="360"/>
      </w:pPr>
      <w:rPr>
        <w:rFonts w:ascii="Calibri" w:eastAsia="Calibri" w:hAnsi="Calibri" w:cs="Calibri"/>
        <w:sz w:val="22"/>
        <w:szCs w:val="22"/>
      </w:rPr>
    </w:lvl>
    <w:lvl w:ilvl="2">
      <w:numFmt w:val="bullet"/>
      <w:lvlText w:val="•"/>
      <w:lvlJc w:val="left"/>
      <w:pPr>
        <w:ind w:left="3468" w:hanging="360"/>
      </w:pPr>
    </w:lvl>
    <w:lvl w:ilvl="3">
      <w:numFmt w:val="bullet"/>
      <w:lvlText w:val="•"/>
      <w:lvlJc w:val="left"/>
      <w:pPr>
        <w:ind w:left="4537" w:hanging="360"/>
      </w:pPr>
    </w:lvl>
    <w:lvl w:ilvl="4">
      <w:numFmt w:val="bullet"/>
      <w:lvlText w:val="•"/>
      <w:lvlJc w:val="left"/>
      <w:pPr>
        <w:ind w:left="5606" w:hanging="360"/>
      </w:pPr>
    </w:lvl>
    <w:lvl w:ilvl="5">
      <w:numFmt w:val="bullet"/>
      <w:lvlText w:val="•"/>
      <w:lvlJc w:val="left"/>
      <w:pPr>
        <w:ind w:left="6675" w:hanging="360"/>
      </w:pPr>
    </w:lvl>
    <w:lvl w:ilvl="6">
      <w:numFmt w:val="bullet"/>
      <w:lvlText w:val="•"/>
      <w:lvlJc w:val="left"/>
      <w:pPr>
        <w:ind w:left="7744" w:hanging="360"/>
      </w:pPr>
    </w:lvl>
    <w:lvl w:ilvl="7">
      <w:numFmt w:val="bullet"/>
      <w:lvlText w:val="•"/>
      <w:lvlJc w:val="left"/>
      <w:pPr>
        <w:ind w:left="8813" w:hanging="360"/>
      </w:pPr>
    </w:lvl>
    <w:lvl w:ilvl="8">
      <w:numFmt w:val="bullet"/>
      <w:lvlText w:val="•"/>
      <w:lvlJc w:val="left"/>
      <w:pPr>
        <w:ind w:left="9882" w:hanging="360"/>
      </w:pPr>
    </w:lvl>
  </w:abstractNum>
  <w:abstractNum w:abstractNumId="32">
    <w:nsid w:val="5B0A605C"/>
    <w:multiLevelType w:val="multilevel"/>
    <w:tmpl w:val="C7D4AB22"/>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33">
    <w:nsid w:val="5B51002C"/>
    <w:multiLevelType w:val="multilevel"/>
    <w:tmpl w:val="8452BD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60503494"/>
    <w:multiLevelType w:val="multilevel"/>
    <w:tmpl w:val="91A63A06"/>
    <w:lvl w:ilvl="0">
      <w:start w:val="1"/>
      <w:numFmt w:val="decimal"/>
      <w:lvlText w:val="%1."/>
      <w:lvlJc w:val="left"/>
      <w:pPr>
        <w:ind w:left="283" w:hanging="360"/>
      </w:p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1F0715C"/>
    <w:multiLevelType w:val="multilevel"/>
    <w:tmpl w:val="4E4C3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668023B"/>
    <w:multiLevelType w:val="multilevel"/>
    <w:tmpl w:val="A03455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261C48"/>
    <w:multiLevelType w:val="multilevel"/>
    <w:tmpl w:val="6B4A5732"/>
    <w:lvl w:ilvl="0">
      <w:start w:val="1"/>
      <w:numFmt w:val="lowerLetter"/>
      <w:lvlText w:val="%1)"/>
      <w:lvlJc w:val="right"/>
      <w:pPr>
        <w:ind w:left="540" w:hanging="180"/>
      </w:pPr>
      <w:rPr>
        <w:rFonts w:ascii="Tahoma" w:eastAsia="Tahoma" w:hAnsi="Tahoma" w:cs="Tahoma"/>
      </w:r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8">
    <w:nsid w:val="6A7E2758"/>
    <w:multiLevelType w:val="multilevel"/>
    <w:tmpl w:val="2D020DD6"/>
    <w:lvl w:ilvl="0">
      <w:start w:val="1"/>
      <w:numFmt w:val="decimal"/>
      <w:lvlText w:val="%1."/>
      <w:lvlJc w:val="left"/>
      <w:pPr>
        <w:ind w:left="283" w:hanging="360"/>
      </w:p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BC001BA"/>
    <w:multiLevelType w:val="multilevel"/>
    <w:tmpl w:val="F602427C"/>
    <w:lvl w:ilvl="0">
      <w:start w:val="7"/>
      <w:numFmt w:val="decimal"/>
      <w:lvlText w:val="%1."/>
      <w:lvlJc w:val="left"/>
      <w:pPr>
        <w:ind w:left="1695" w:hanging="216"/>
      </w:pPr>
      <w:rPr>
        <w:rFonts w:ascii="Calibri" w:eastAsia="Calibri" w:hAnsi="Calibri" w:cs="Calibri"/>
        <w:b/>
        <w:color w:val="000000"/>
        <w:sz w:val="22"/>
        <w:szCs w:val="22"/>
      </w:rPr>
    </w:lvl>
    <w:lvl w:ilvl="1">
      <w:start w:val="1"/>
      <w:numFmt w:val="decimal"/>
      <w:lvlText w:val="%1.%2"/>
      <w:lvlJc w:val="left"/>
      <w:pPr>
        <w:ind w:left="7965" w:hanging="451"/>
      </w:pPr>
      <w:rPr>
        <w:rFonts w:ascii="Times New Roman" w:eastAsia="Times New Roman" w:hAnsi="Times New Roman" w:cs="Times New Roman"/>
        <w:b w:val="0"/>
      </w:rPr>
    </w:lvl>
    <w:lvl w:ilvl="2">
      <w:numFmt w:val="bullet"/>
      <w:lvlText w:val="•"/>
      <w:lvlJc w:val="left"/>
      <w:pPr>
        <w:ind w:left="2120" w:hanging="451"/>
      </w:pPr>
    </w:lvl>
    <w:lvl w:ilvl="3">
      <w:numFmt w:val="bullet"/>
      <w:lvlText w:val="•"/>
      <w:lvlJc w:val="left"/>
      <w:pPr>
        <w:ind w:left="3332" w:hanging="451"/>
      </w:pPr>
    </w:lvl>
    <w:lvl w:ilvl="4">
      <w:numFmt w:val="bullet"/>
      <w:lvlText w:val="•"/>
      <w:lvlJc w:val="left"/>
      <w:pPr>
        <w:ind w:left="4545" w:hanging="451"/>
      </w:pPr>
    </w:lvl>
    <w:lvl w:ilvl="5">
      <w:numFmt w:val="bullet"/>
      <w:lvlText w:val="•"/>
      <w:lvlJc w:val="left"/>
      <w:pPr>
        <w:ind w:left="5757" w:hanging="451"/>
      </w:pPr>
    </w:lvl>
    <w:lvl w:ilvl="6">
      <w:numFmt w:val="bullet"/>
      <w:lvlText w:val="•"/>
      <w:lvlJc w:val="left"/>
      <w:pPr>
        <w:ind w:left="6970" w:hanging="451"/>
      </w:pPr>
    </w:lvl>
    <w:lvl w:ilvl="7">
      <w:numFmt w:val="bullet"/>
      <w:lvlText w:val="•"/>
      <w:lvlJc w:val="left"/>
      <w:pPr>
        <w:ind w:left="8182" w:hanging="451"/>
      </w:pPr>
    </w:lvl>
    <w:lvl w:ilvl="8">
      <w:numFmt w:val="bullet"/>
      <w:lvlText w:val="•"/>
      <w:lvlJc w:val="left"/>
      <w:pPr>
        <w:ind w:left="9395" w:hanging="451"/>
      </w:pPr>
    </w:lvl>
  </w:abstractNum>
  <w:abstractNum w:abstractNumId="40">
    <w:nsid w:val="6CBB043B"/>
    <w:multiLevelType w:val="multilevel"/>
    <w:tmpl w:val="1250D83C"/>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EBB5854"/>
    <w:multiLevelType w:val="multilevel"/>
    <w:tmpl w:val="9DC63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003027E"/>
    <w:multiLevelType w:val="multilevel"/>
    <w:tmpl w:val="898C60EA"/>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01C236E"/>
    <w:multiLevelType w:val="multilevel"/>
    <w:tmpl w:val="B5D061C8"/>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4">
    <w:nsid w:val="75FA49DD"/>
    <w:multiLevelType w:val="multilevel"/>
    <w:tmpl w:val="CC6E24D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6DF2225"/>
    <w:multiLevelType w:val="multilevel"/>
    <w:tmpl w:val="331C31CE"/>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AB4232A"/>
    <w:multiLevelType w:val="multilevel"/>
    <w:tmpl w:val="5D9494CA"/>
    <w:lvl w:ilvl="0">
      <w:start w:val="1"/>
      <w:numFmt w:val="lowerLetter"/>
      <w:lvlText w:val="%1)"/>
      <w:lvlJc w:val="right"/>
      <w:pPr>
        <w:ind w:left="540" w:hanging="180"/>
      </w:pPr>
      <w:rPr>
        <w:rFonts w:ascii="Tahoma" w:eastAsia="Tahoma" w:hAnsi="Tahoma" w:cs="Tahoma"/>
      </w:r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7">
    <w:nsid w:val="7D644591"/>
    <w:multiLevelType w:val="multilevel"/>
    <w:tmpl w:val="14A0824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48">
    <w:nsid w:val="7D8F26FA"/>
    <w:multiLevelType w:val="multilevel"/>
    <w:tmpl w:val="F1167C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8"/>
  </w:num>
  <w:num w:numId="2">
    <w:abstractNumId w:val="46"/>
  </w:num>
  <w:num w:numId="3">
    <w:abstractNumId w:val="28"/>
  </w:num>
  <w:num w:numId="4">
    <w:abstractNumId w:val="6"/>
  </w:num>
  <w:num w:numId="5">
    <w:abstractNumId w:val="38"/>
  </w:num>
  <w:num w:numId="6">
    <w:abstractNumId w:val="14"/>
  </w:num>
  <w:num w:numId="7">
    <w:abstractNumId w:val="11"/>
  </w:num>
  <w:num w:numId="8">
    <w:abstractNumId w:val="13"/>
  </w:num>
  <w:num w:numId="9">
    <w:abstractNumId w:val="7"/>
  </w:num>
  <w:num w:numId="10">
    <w:abstractNumId w:val="25"/>
  </w:num>
  <w:num w:numId="11">
    <w:abstractNumId w:val="18"/>
  </w:num>
  <w:num w:numId="12">
    <w:abstractNumId w:val="21"/>
  </w:num>
  <w:num w:numId="13">
    <w:abstractNumId w:val="3"/>
  </w:num>
  <w:num w:numId="14">
    <w:abstractNumId w:val="9"/>
  </w:num>
  <w:num w:numId="15">
    <w:abstractNumId w:val="37"/>
  </w:num>
  <w:num w:numId="16">
    <w:abstractNumId w:val="31"/>
  </w:num>
  <w:num w:numId="17">
    <w:abstractNumId w:val="12"/>
  </w:num>
  <w:num w:numId="18">
    <w:abstractNumId w:val="20"/>
  </w:num>
  <w:num w:numId="19">
    <w:abstractNumId w:val="22"/>
  </w:num>
  <w:num w:numId="20">
    <w:abstractNumId w:val="36"/>
  </w:num>
  <w:num w:numId="21">
    <w:abstractNumId w:val="19"/>
  </w:num>
  <w:num w:numId="22">
    <w:abstractNumId w:val="4"/>
  </w:num>
  <w:num w:numId="23">
    <w:abstractNumId w:val="15"/>
  </w:num>
  <w:num w:numId="24">
    <w:abstractNumId w:val="33"/>
  </w:num>
  <w:num w:numId="25">
    <w:abstractNumId w:val="29"/>
  </w:num>
  <w:num w:numId="26">
    <w:abstractNumId w:val="47"/>
  </w:num>
  <w:num w:numId="27">
    <w:abstractNumId w:val="44"/>
  </w:num>
  <w:num w:numId="28">
    <w:abstractNumId w:val="40"/>
  </w:num>
  <w:num w:numId="29">
    <w:abstractNumId w:val="8"/>
  </w:num>
  <w:num w:numId="30">
    <w:abstractNumId w:val="17"/>
  </w:num>
  <w:num w:numId="31">
    <w:abstractNumId w:val="43"/>
  </w:num>
  <w:num w:numId="32">
    <w:abstractNumId w:val="30"/>
  </w:num>
  <w:num w:numId="33">
    <w:abstractNumId w:val="0"/>
  </w:num>
  <w:num w:numId="34">
    <w:abstractNumId w:val="45"/>
  </w:num>
  <w:num w:numId="35">
    <w:abstractNumId w:val="5"/>
  </w:num>
  <w:num w:numId="36">
    <w:abstractNumId w:val="26"/>
  </w:num>
  <w:num w:numId="37">
    <w:abstractNumId w:val="41"/>
  </w:num>
  <w:num w:numId="38">
    <w:abstractNumId w:val="1"/>
  </w:num>
  <w:num w:numId="39">
    <w:abstractNumId w:val="2"/>
  </w:num>
  <w:num w:numId="40">
    <w:abstractNumId w:val="23"/>
  </w:num>
  <w:num w:numId="41">
    <w:abstractNumId w:val="32"/>
  </w:num>
  <w:num w:numId="42">
    <w:abstractNumId w:val="27"/>
  </w:num>
  <w:num w:numId="43">
    <w:abstractNumId w:val="10"/>
  </w:num>
  <w:num w:numId="44">
    <w:abstractNumId w:val="35"/>
  </w:num>
  <w:num w:numId="45">
    <w:abstractNumId w:val="24"/>
  </w:num>
  <w:num w:numId="46">
    <w:abstractNumId w:val="34"/>
  </w:num>
  <w:num w:numId="47">
    <w:abstractNumId w:val="16"/>
  </w:num>
  <w:num w:numId="48">
    <w:abstractNumId w:val="39"/>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645C9E"/>
    <w:rsid w:val="00046BEC"/>
    <w:rsid w:val="000904A1"/>
    <w:rsid w:val="00150F14"/>
    <w:rsid w:val="001F139B"/>
    <w:rsid w:val="00301466"/>
    <w:rsid w:val="003165A5"/>
    <w:rsid w:val="0034635E"/>
    <w:rsid w:val="003D4759"/>
    <w:rsid w:val="003D4964"/>
    <w:rsid w:val="003E6D32"/>
    <w:rsid w:val="003F528B"/>
    <w:rsid w:val="004332C2"/>
    <w:rsid w:val="00462632"/>
    <w:rsid w:val="00492625"/>
    <w:rsid w:val="004A32F8"/>
    <w:rsid w:val="00502C88"/>
    <w:rsid w:val="005030B2"/>
    <w:rsid w:val="0051446E"/>
    <w:rsid w:val="005247CE"/>
    <w:rsid w:val="00571CDB"/>
    <w:rsid w:val="005B7C03"/>
    <w:rsid w:val="005C303C"/>
    <w:rsid w:val="00605437"/>
    <w:rsid w:val="00645C9E"/>
    <w:rsid w:val="00677849"/>
    <w:rsid w:val="006C2A59"/>
    <w:rsid w:val="006E19DE"/>
    <w:rsid w:val="0071700D"/>
    <w:rsid w:val="007C2F8D"/>
    <w:rsid w:val="007E66B6"/>
    <w:rsid w:val="007F1601"/>
    <w:rsid w:val="00801AE6"/>
    <w:rsid w:val="0080402B"/>
    <w:rsid w:val="008132EF"/>
    <w:rsid w:val="00832F6B"/>
    <w:rsid w:val="00841598"/>
    <w:rsid w:val="008C03F6"/>
    <w:rsid w:val="00925C12"/>
    <w:rsid w:val="009725AD"/>
    <w:rsid w:val="00985451"/>
    <w:rsid w:val="0098609A"/>
    <w:rsid w:val="009961F9"/>
    <w:rsid w:val="009E7E19"/>
    <w:rsid w:val="00A12B84"/>
    <w:rsid w:val="00A33AD0"/>
    <w:rsid w:val="00A55B64"/>
    <w:rsid w:val="00AF1916"/>
    <w:rsid w:val="00B3275E"/>
    <w:rsid w:val="00B73853"/>
    <w:rsid w:val="00B961EB"/>
    <w:rsid w:val="00BF2CEC"/>
    <w:rsid w:val="00C43B97"/>
    <w:rsid w:val="00C60F9D"/>
    <w:rsid w:val="00C63B18"/>
    <w:rsid w:val="00C834FC"/>
    <w:rsid w:val="00CB3FA6"/>
    <w:rsid w:val="00CE0D90"/>
    <w:rsid w:val="00CE7F0F"/>
    <w:rsid w:val="00CF6020"/>
    <w:rsid w:val="00D27783"/>
    <w:rsid w:val="00D44390"/>
    <w:rsid w:val="00D92B12"/>
    <w:rsid w:val="00DC634D"/>
    <w:rsid w:val="00DE64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6E"/>
  </w:style>
  <w:style w:type="paragraph" w:styleId="Ttulo1">
    <w:name w:val="heading 1"/>
    <w:basedOn w:val="normal0"/>
    <w:next w:val="normal0"/>
    <w:rsid w:val="00645C9E"/>
    <w:pPr>
      <w:keepNext/>
      <w:keepLines/>
      <w:spacing w:before="400" w:after="120"/>
      <w:outlineLvl w:val="0"/>
    </w:pPr>
    <w:rPr>
      <w:sz w:val="40"/>
      <w:szCs w:val="40"/>
    </w:rPr>
  </w:style>
  <w:style w:type="paragraph" w:styleId="Ttulo2">
    <w:name w:val="heading 2"/>
    <w:basedOn w:val="normal0"/>
    <w:next w:val="normal0"/>
    <w:rsid w:val="00645C9E"/>
    <w:pPr>
      <w:keepNext/>
      <w:keepLines/>
      <w:spacing w:before="360" w:after="120"/>
      <w:outlineLvl w:val="1"/>
    </w:pPr>
    <w:rPr>
      <w:sz w:val="32"/>
      <w:szCs w:val="32"/>
    </w:rPr>
  </w:style>
  <w:style w:type="paragraph" w:styleId="Ttulo3">
    <w:name w:val="heading 3"/>
    <w:basedOn w:val="normal0"/>
    <w:next w:val="normal0"/>
    <w:rsid w:val="00645C9E"/>
    <w:pPr>
      <w:keepNext/>
      <w:keepLines/>
      <w:spacing w:before="320" w:after="80"/>
      <w:outlineLvl w:val="2"/>
    </w:pPr>
    <w:rPr>
      <w:color w:val="434343"/>
      <w:sz w:val="28"/>
      <w:szCs w:val="28"/>
    </w:rPr>
  </w:style>
  <w:style w:type="paragraph" w:styleId="Ttulo4">
    <w:name w:val="heading 4"/>
    <w:basedOn w:val="normal0"/>
    <w:next w:val="normal0"/>
    <w:rsid w:val="00645C9E"/>
    <w:pPr>
      <w:keepNext/>
      <w:keepLines/>
      <w:spacing w:before="280" w:after="80"/>
      <w:outlineLvl w:val="3"/>
    </w:pPr>
    <w:rPr>
      <w:color w:val="666666"/>
      <w:sz w:val="24"/>
      <w:szCs w:val="24"/>
    </w:rPr>
  </w:style>
  <w:style w:type="paragraph" w:styleId="Ttulo5">
    <w:name w:val="heading 5"/>
    <w:basedOn w:val="normal0"/>
    <w:next w:val="normal0"/>
    <w:rsid w:val="00645C9E"/>
    <w:pPr>
      <w:keepNext/>
      <w:keepLines/>
      <w:spacing w:before="240" w:after="80"/>
      <w:outlineLvl w:val="4"/>
    </w:pPr>
    <w:rPr>
      <w:color w:val="666666"/>
    </w:rPr>
  </w:style>
  <w:style w:type="paragraph" w:styleId="Ttulo6">
    <w:name w:val="heading 6"/>
    <w:basedOn w:val="normal0"/>
    <w:next w:val="normal0"/>
    <w:rsid w:val="00645C9E"/>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645C9E"/>
  </w:style>
  <w:style w:type="table" w:customStyle="1" w:styleId="TableNormal">
    <w:name w:val="Table Normal"/>
    <w:rsid w:val="00645C9E"/>
    <w:tblPr>
      <w:tblCellMar>
        <w:top w:w="0" w:type="dxa"/>
        <w:left w:w="0" w:type="dxa"/>
        <w:bottom w:w="0" w:type="dxa"/>
        <w:right w:w="0" w:type="dxa"/>
      </w:tblCellMar>
    </w:tblPr>
  </w:style>
  <w:style w:type="paragraph" w:styleId="Ttulo">
    <w:name w:val="Title"/>
    <w:basedOn w:val="normal0"/>
    <w:next w:val="normal0"/>
    <w:rsid w:val="00645C9E"/>
    <w:pPr>
      <w:keepNext/>
      <w:keepLines/>
      <w:spacing w:after="60"/>
    </w:pPr>
    <w:rPr>
      <w:sz w:val="52"/>
      <w:szCs w:val="52"/>
    </w:rPr>
  </w:style>
  <w:style w:type="paragraph" w:styleId="Subttulo">
    <w:name w:val="Subtitle"/>
    <w:basedOn w:val="normal0"/>
    <w:next w:val="normal0"/>
    <w:rsid w:val="00645C9E"/>
    <w:pPr>
      <w:keepNext/>
      <w:keepLines/>
      <w:spacing w:after="320"/>
    </w:pPr>
    <w:rPr>
      <w:color w:val="666666"/>
      <w:sz w:val="30"/>
      <w:szCs w:val="30"/>
    </w:rPr>
  </w:style>
  <w:style w:type="table" w:customStyle="1" w:styleId="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5">
    <w:basedOn w:val="TableNormal"/>
    <w:rsid w:val="00645C9E"/>
    <w:tblPr>
      <w:tblStyleRowBandSize w:val="1"/>
      <w:tblStyleColBandSize w:val="1"/>
      <w:tblCellMar>
        <w:top w:w="100" w:type="dxa"/>
        <w:left w:w="100" w:type="dxa"/>
        <w:bottom w:w="100" w:type="dxa"/>
        <w:right w:w="100" w:type="dxa"/>
      </w:tblCellMar>
    </w:tblPr>
  </w:style>
  <w:style w:type="table" w:customStyle="1" w:styleId="a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5">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5">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5B7C0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7C03"/>
    <w:rPr>
      <w:rFonts w:ascii="Tahoma" w:hAnsi="Tahoma" w:cs="Tahoma"/>
      <w:sz w:val="16"/>
      <w:szCs w:val="16"/>
    </w:rPr>
  </w:style>
  <w:style w:type="paragraph" w:styleId="Textodecomentrio">
    <w:name w:val="annotation text"/>
    <w:basedOn w:val="Normal"/>
    <w:link w:val="TextodecomentrioChar"/>
    <w:uiPriority w:val="99"/>
    <w:semiHidden/>
    <w:unhideWhenUsed/>
    <w:rsid w:val="00CE0D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0D90"/>
    <w:rPr>
      <w:sz w:val="20"/>
      <w:szCs w:val="20"/>
    </w:rPr>
  </w:style>
  <w:style w:type="character" w:styleId="Refdecomentrio">
    <w:name w:val="annotation reference"/>
    <w:basedOn w:val="Fontepargpadro"/>
    <w:uiPriority w:val="99"/>
    <w:semiHidden/>
    <w:unhideWhenUsed/>
    <w:rsid w:val="00CE0D90"/>
    <w:rPr>
      <w:sz w:val="16"/>
      <w:szCs w:val="16"/>
    </w:rPr>
  </w:style>
  <w:style w:type="paragraph" w:customStyle="1" w:styleId="textojustificadoarial12">
    <w:name w:val="texto_justificado_arial_12"/>
    <w:basedOn w:val="Normal"/>
    <w:rsid w:val="00CE0D90"/>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semiHidden/>
    <w:unhideWhenUsed/>
    <w:rsid w:val="00B3275E"/>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B3275E"/>
  </w:style>
  <w:style w:type="paragraph" w:styleId="Rodap">
    <w:name w:val="footer"/>
    <w:basedOn w:val="Normal"/>
    <w:link w:val="RodapChar"/>
    <w:uiPriority w:val="99"/>
    <w:semiHidden/>
    <w:unhideWhenUsed/>
    <w:rsid w:val="00B3275E"/>
    <w:pPr>
      <w:tabs>
        <w:tab w:val="center" w:pos="4252"/>
        <w:tab w:val="right" w:pos="8504"/>
      </w:tabs>
      <w:spacing w:line="240" w:lineRule="auto"/>
    </w:pPr>
  </w:style>
  <w:style w:type="character" w:customStyle="1" w:styleId="RodapChar">
    <w:name w:val="Rodapé Char"/>
    <w:basedOn w:val="Fontepargpadro"/>
    <w:link w:val="Rodap"/>
    <w:uiPriority w:val="99"/>
    <w:semiHidden/>
    <w:rsid w:val="00B327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A77A3-6738-41CB-A552-EE114373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7956</Words>
  <Characters>42965</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Lima Rocha</dc:creator>
  <cp:lastModifiedBy>vinicius.rocha</cp:lastModifiedBy>
  <cp:revision>2</cp:revision>
  <dcterms:created xsi:type="dcterms:W3CDTF">2024-04-24T21:10:00Z</dcterms:created>
  <dcterms:modified xsi:type="dcterms:W3CDTF">2024-04-24T21:10:00Z</dcterms:modified>
</cp:coreProperties>
</file>