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C9E" w:rsidRDefault="009961F9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5 - CRITÉRIOS PARA AVALIAÇÃO DAS PROPOSTAS DE TRABALHO</w:t>
      </w: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tabs>
          <w:tab w:val="left" w:pos="1901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Propostas de Trabalho serão avaliadas através do Índice Técnico da Proposta (ITP), que é composto pelo somatório dos pontos obtidos nos critérios de julgamento constantes do quadro abaixo, sendo possível alcançar o máximo de 10 (dez) pontos. O quadro abaixo será aplicado para a Avaliação das Propostas de Trabalho nos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Lotes 01, 02, 03, 04 e 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before="6"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4"/>
        <w:tblW w:w="9822" w:type="dxa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17"/>
        <w:gridCol w:w="3660"/>
        <w:gridCol w:w="1845"/>
      </w:tblGrid>
      <w:tr w:rsidR="00645C9E" w:rsidTr="00C834FC">
        <w:trPr>
          <w:cantSplit/>
          <w:trHeight w:val="859"/>
          <w:tblHeader/>
          <w:jc w:val="center"/>
        </w:trPr>
        <w:tc>
          <w:tcPr>
            <w:tcW w:w="7977" w:type="dxa"/>
            <w:gridSpan w:val="2"/>
            <w:shd w:val="clear" w:color="auto" w:fill="BEBEBE"/>
          </w:tcPr>
          <w:p w:rsidR="00645C9E" w:rsidRDefault="009961F9">
            <w:pPr>
              <w:pStyle w:val="normal0"/>
              <w:spacing w:before="126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CRITÉRIO DE JULGAMENTO</w:t>
            </w:r>
          </w:p>
        </w:tc>
        <w:tc>
          <w:tcPr>
            <w:tcW w:w="1845" w:type="dxa"/>
            <w:shd w:val="clear" w:color="auto" w:fill="BEBEBE"/>
          </w:tcPr>
          <w:p w:rsidR="00645C9E" w:rsidRDefault="009961F9">
            <w:pPr>
              <w:pStyle w:val="normal0"/>
              <w:spacing w:before="126" w:line="273" w:lineRule="auto"/>
              <w:ind w:left="141" w:right="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</w:tr>
      <w:tr w:rsidR="00645C9E" w:rsidTr="00C834FC">
        <w:trPr>
          <w:cantSplit/>
          <w:trHeight w:val="551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numPr>
                <w:ilvl w:val="0"/>
                <w:numId w:val="38"/>
              </w:numPr>
              <w:spacing w:before="121" w:line="240" w:lineRule="auto"/>
              <w:ind w:left="283" w:right="-43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CAPACIDADE TÉCNICA DA ENTIDADE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645C9E" w:rsidTr="00C834FC">
        <w:trPr>
          <w:cantSplit/>
          <w:trHeight w:val="1166"/>
          <w:tblHeader/>
          <w:jc w:val="center"/>
        </w:trPr>
        <w:tc>
          <w:tcPr>
            <w:tcW w:w="4317" w:type="dxa"/>
            <w:vMerge w:val="restart"/>
          </w:tcPr>
          <w:p w:rsidR="00645C9E" w:rsidRDefault="009961F9">
            <w:pPr>
              <w:pStyle w:val="normal0"/>
              <w:spacing w:before="121"/>
              <w:ind w:left="141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técnico-operacional da instituição proponente, por meio de experiência prévia comprovada no portfólio, de ações voltadas à defesa e promoção dos direitos humanos, promoção de cuidado em liberdade e inclusão de pessoas em situação de vulnerabilidade social e econômica.</w:t>
            </w: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21"/>
              <w:ind w:left="141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A OSC apresenta experiência de mais de 02 anos comprovada para execução do objeto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45C9E" w:rsidTr="00C834FC">
        <w:trPr>
          <w:cantSplit/>
          <w:trHeight w:val="1166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21"/>
              <w:ind w:left="141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A OSC apresenta experiência de 01 a 02 anos comprovada para execução do objeto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1473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21"/>
              <w:ind w:left="141"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A OSC apresenta</w:t>
            </w:r>
            <w:r w:rsidR="007E6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experiência de menos de 01 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5C9E" w:rsidTr="00C834FC">
        <w:trPr>
          <w:cantSplit/>
          <w:trHeight w:val="552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numPr>
                <w:ilvl w:val="0"/>
                <w:numId w:val="38"/>
              </w:numPr>
              <w:spacing w:before="122" w:line="240" w:lineRule="auto"/>
              <w:ind w:left="283" w:right="-43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ATUAÇÃO NO TERRITÓRIO DE IDENTIDADE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2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645C9E" w:rsidTr="00C834FC">
        <w:trPr>
          <w:cantSplit/>
          <w:trHeight w:val="552"/>
          <w:tblHeader/>
          <w:jc w:val="center"/>
        </w:trPr>
        <w:tc>
          <w:tcPr>
            <w:tcW w:w="4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5C9E" w:rsidRDefault="009961F9">
            <w:pPr>
              <w:pStyle w:val="normal0"/>
              <w:spacing w:before="120" w:line="240" w:lineRule="auto"/>
              <w:ind w:left="141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Capacidade técnico-operacional da instituição proponente, por meio de experiência prévia de atuação no território de identidade do Lote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pretendido.</w:t>
            </w:r>
          </w:p>
        </w:tc>
        <w:tc>
          <w:tcPr>
            <w:tcW w:w="3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5C9E" w:rsidRDefault="009961F9">
            <w:pPr>
              <w:pStyle w:val="normal0"/>
              <w:spacing w:before="120"/>
              <w:ind w:left="141" w:right="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a) A OSC apresenta experiência de mais de 02 anos de atuação no território de identidade do lote pretendido.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2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645C9E" w:rsidTr="00C834FC">
        <w:trPr>
          <w:cantSplit/>
          <w:trHeight w:val="552"/>
          <w:tblHeader/>
          <w:jc w:val="center"/>
        </w:trPr>
        <w:tc>
          <w:tcPr>
            <w:tcW w:w="4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C9E" w:rsidRDefault="00645C9E">
            <w:pPr>
              <w:pStyle w:val="normal0"/>
              <w:spacing w:before="122" w:line="240" w:lineRule="auto"/>
              <w:ind w:left="-280"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5C9E" w:rsidRDefault="009961F9">
            <w:pPr>
              <w:pStyle w:val="normal0"/>
              <w:spacing w:before="120"/>
              <w:ind w:right="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b) A OSC apresenta experiência     de menos de 02 anos de atuação no território de identidade do lote pretendido.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2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915"/>
          <w:tblHeader/>
          <w:jc w:val="center"/>
        </w:trPr>
        <w:tc>
          <w:tcPr>
            <w:tcW w:w="4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C9E" w:rsidRDefault="00645C9E">
            <w:pPr>
              <w:pStyle w:val="normal0"/>
              <w:spacing w:before="122" w:line="240" w:lineRule="auto"/>
              <w:ind w:left="-280"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45C9E" w:rsidRDefault="009961F9">
            <w:pPr>
              <w:pStyle w:val="normal0"/>
              <w:spacing w:before="120"/>
              <w:ind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>A OSC não apresenta experiência de atuação no território de identidade do lote pretendido.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2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45C9E" w:rsidTr="00C834FC">
        <w:trPr>
          <w:cantSplit/>
          <w:trHeight w:val="552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numPr>
                <w:ilvl w:val="0"/>
                <w:numId w:val="38"/>
              </w:numPr>
              <w:spacing w:before="122" w:line="240" w:lineRule="auto"/>
              <w:ind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CAPACIDADE TÉCNICA DA EQUIPE DAS ATIVIDADES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2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1853"/>
          <w:tblHeader/>
          <w:jc w:val="center"/>
        </w:trPr>
        <w:tc>
          <w:tcPr>
            <w:tcW w:w="4317" w:type="dxa"/>
            <w:vMerge w:val="restart"/>
          </w:tcPr>
          <w:p w:rsidR="00645C9E" w:rsidRDefault="009961F9">
            <w:pPr>
              <w:pStyle w:val="normal0"/>
              <w:spacing w:before="121"/>
              <w:ind w:left="141" w:right="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currículos dos profissionais que irão atuar no Programa devem estar em conformidade com 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3 - Termo de Referência, Item 9 – EQUIPE TÉCNICA MÍNIMA.</w:t>
            </w: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31"/>
              </w:numPr>
              <w:spacing w:before="121" w:line="240" w:lineRule="auto"/>
              <w:ind w:left="141" w:right="224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Atende totalmente, propondo a contratação de profissionais 100% de acordo com 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3 - Termo de Referência, Item 9 – EQUIPE TÉCNICA MÍNIMA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1478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21"/>
              <w:ind w:left="141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Atende parcialmente, propondo a contratação de 70% dos profissionais de acordo com 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3 - Termo de Referência, Item 9 – EQUIPE TÉCNICA MÍNIMA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5C9E" w:rsidTr="00C834FC">
        <w:trPr>
          <w:cantSplit/>
          <w:trHeight w:val="1473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21"/>
              <w:ind w:left="141"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Não atende, propondo a contratação de menos de 69% dos profissionais de acordo com 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3 - Termo de Referência, Item 9 – EQUIPE TÉCNICA MÍNIMA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5C9E" w:rsidTr="00C834FC">
        <w:trPr>
          <w:cantSplit/>
          <w:trHeight w:val="551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spacing w:before="121" w:line="240" w:lineRule="auto"/>
              <w:ind w:left="283"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</w:t>
            </w:r>
            <w:r w:rsidR="003D4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ADEQUAÇÃO AO TERMO DE REFERÊNCIA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2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630"/>
          <w:tblHeader/>
          <w:jc w:val="center"/>
        </w:trPr>
        <w:tc>
          <w:tcPr>
            <w:tcW w:w="4317" w:type="dxa"/>
            <w:vMerge w:val="restart"/>
          </w:tcPr>
          <w:p w:rsidR="00645C9E" w:rsidRDefault="009961F9">
            <w:pPr>
              <w:pStyle w:val="normal0"/>
              <w:spacing w:before="121" w:line="240" w:lineRule="auto"/>
              <w:ind w:left="141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Proposição de ações a serem executadas,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metas a serem atingidas e os respectivos parâmetros de avaliação de desempenho, em conformidade com o Termo de Referência</w:t>
            </w: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41"/>
              </w:numPr>
              <w:spacing w:before="118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Atende totalmente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551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31"/>
              </w:numPr>
              <w:spacing w:before="118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Atende parcialmente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5C9E" w:rsidTr="00C834FC">
        <w:trPr>
          <w:cantSplit/>
          <w:trHeight w:val="704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31"/>
              </w:numPr>
              <w:spacing w:before="118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atende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5C9E" w:rsidTr="00C834FC">
        <w:trPr>
          <w:cantSplit/>
          <w:trHeight w:val="559"/>
          <w:tblHeader/>
          <w:jc w:val="center"/>
        </w:trPr>
        <w:tc>
          <w:tcPr>
            <w:tcW w:w="7977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645C9E" w:rsidRDefault="009961F9">
            <w:pPr>
              <w:pStyle w:val="normal0"/>
              <w:spacing w:before="118" w:line="240" w:lineRule="auto"/>
              <w:ind w:left="283"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  NEXO ENTRE A REALIDADE OBJETO DA PARCERIA E A PROPOSTA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val="clear" w:color="auto" w:fill="D9D9D9"/>
          </w:tcPr>
          <w:p w:rsidR="00645C9E" w:rsidRDefault="009961F9">
            <w:pPr>
              <w:pStyle w:val="normal0"/>
              <w:spacing w:line="266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544"/>
          <w:tblHeader/>
          <w:jc w:val="center"/>
        </w:trPr>
        <w:tc>
          <w:tcPr>
            <w:tcW w:w="4317" w:type="dxa"/>
            <w:vMerge w:val="restart"/>
            <w:tcBorders>
              <w:top w:val="single" w:sz="6" w:space="0" w:color="000000"/>
            </w:tcBorders>
          </w:tcPr>
          <w:p w:rsidR="00645C9E" w:rsidRDefault="009961F9">
            <w:pPr>
              <w:pStyle w:val="normal0"/>
              <w:spacing w:before="115" w:line="288" w:lineRule="auto"/>
              <w:ind w:left="141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nexo entre a realidade objeto da parceria e as atividades propostas e metas a serem atingidas, a partir da contextualização/compreensão da problemática em questão</w:t>
            </w:r>
          </w:p>
        </w:tc>
        <w:tc>
          <w:tcPr>
            <w:tcW w:w="3660" w:type="dxa"/>
            <w:tcBorders>
              <w:top w:val="single" w:sz="6" w:space="0" w:color="000000"/>
            </w:tcBorders>
          </w:tcPr>
          <w:p w:rsidR="00645C9E" w:rsidRDefault="009961F9">
            <w:pPr>
              <w:pStyle w:val="normal0"/>
              <w:numPr>
                <w:ilvl w:val="0"/>
                <w:numId w:val="23"/>
              </w:numPr>
              <w:spacing w:before="115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Atende totalmente</w:t>
            </w:r>
          </w:p>
        </w:tc>
        <w:tc>
          <w:tcPr>
            <w:tcW w:w="1845" w:type="dxa"/>
            <w:tcBorders>
              <w:top w:val="single" w:sz="6" w:space="0" w:color="000000"/>
            </w:tcBorders>
          </w:tcPr>
          <w:p w:rsidR="00645C9E" w:rsidRDefault="009961F9">
            <w:pPr>
              <w:pStyle w:val="normal0"/>
              <w:spacing w:before="115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551"/>
          <w:tblHeader/>
          <w:jc w:val="center"/>
        </w:trPr>
        <w:tc>
          <w:tcPr>
            <w:tcW w:w="4317" w:type="dxa"/>
            <w:vMerge/>
            <w:tcBorders>
              <w:top w:val="single" w:sz="6" w:space="0" w:color="000000"/>
            </w:tcBorders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23"/>
              </w:numPr>
              <w:spacing w:before="118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Atende parcialmente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5C9E" w:rsidTr="00C834FC">
        <w:trPr>
          <w:cantSplit/>
          <w:trHeight w:val="734"/>
          <w:tblHeader/>
          <w:jc w:val="center"/>
        </w:trPr>
        <w:tc>
          <w:tcPr>
            <w:tcW w:w="4317" w:type="dxa"/>
            <w:vMerge/>
            <w:tcBorders>
              <w:top w:val="single" w:sz="6" w:space="0" w:color="000000"/>
            </w:tcBorders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23"/>
              </w:numPr>
              <w:spacing w:before="118" w:line="240" w:lineRule="auto"/>
              <w:ind w:left="283" w:right="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atende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5C9E" w:rsidTr="00C834FC">
        <w:trPr>
          <w:cantSplit/>
          <w:trHeight w:val="561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spacing w:before="118" w:line="240" w:lineRule="auto"/>
              <w:ind w:left="283"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F. ADEQUAÇÃO DA METODOLOGIA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645C9E" w:rsidTr="00C834FC">
        <w:trPr>
          <w:cantSplit/>
          <w:trHeight w:val="632"/>
          <w:tblHeader/>
          <w:jc w:val="center"/>
        </w:trPr>
        <w:tc>
          <w:tcPr>
            <w:tcW w:w="4317" w:type="dxa"/>
            <w:vMerge w:val="restart"/>
          </w:tcPr>
          <w:p w:rsidR="00645C9E" w:rsidRDefault="009961F9">
            <w:pPr>
              <w:pStyle w:val="normal0"/>
              <w:spacing w:before="118" w:line="288" w:lineRule="auto"/>
              <w:ind w:left="141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Adequação da metodologia de trabalho aos objetivos da parceria</w:t>
            </w: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22"/>
              </w:numPr>
              <w:spacing w:before="115" w:line="240" w:lineRule="auto"/>
              <w:ind w:left="283" w:right="-4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Atende totalmente</w:t>
            </w:r>
          </w:p>
        </w:tc>
        <w:tc>
          <w:tcPr>
            <w:tcW w:w="1845" w:type="dxa"/>
          </w:tcPr>
          <w:p w:rsidR="00645C9E" w:rsidRDefault="00645C9E">
            <w:pPr>
              <w:pStyle w:val="normal0"/>
              <w:spacing w:before="3" w:line="240" w:lineRule="auto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before="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45C9E" w:rsidTr="00C834FC">
        <w:trPr>
          <w:cantSplit/>
          <w:trHeight w:val="556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22"/>
              </w:numPr>
              <w:spacing w:before="118" w:line="240" w:lineRule="auto"/>
              <w:ind w:left="283" w:right="-4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Atende parcialmente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550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22"/>
              </w:numPr>
              <w:spacing w:before="118" w:line="240" w:lineRule="auto"/>
              <w:ind w:left="283" w:right="-4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atende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5C9E" w:rsidTr="00C834FC">
        <w:trPr>
          <w:cantSplit/>
          <w:trHeight w:val="561"/>
          <w:tblHeader/>
          <w:jc w:val="center"/>
        </w:trPr>
        <w:tc>
          <w:tcPr>
            <w:tcW w:w="7977" w:type="dxa"/>
            <w:gridSpan w:val="2"/>
            <w:shd w:val="clear" w:color="auto" w:fill="D9D9D9"/>
          </w:tcPr>
          <w:p w:rsidR="00645C9E" w:rsidRDefault="009961F9">
            <w:pPr>
              <w:pStyle w:val="normal0"/>
              <w:spacing w:before="118" w:line="240" w:lineRule="auto"/>
              <w:ind w:left="141" w:right="-4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G. ADEQUAÇÃO DO VALOR GLOBAL</w:t>
            </w:r>
          </w:p>
        </w:tc>
        <w:tc>
          <w:tcPr>
            <w:tcW w:w="1845" w:type="dxa"/>
            <w:shd w:val="clear" w:color="auto" w:fill="D9D9D9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645C9E" w:rsidTr="00C834FC">
        <w:trPr>
          <w:cantSplit/>
          <w:trHeight w:val="1204"/>
          <w:tblHeader/>
          <w:jc w:val="center"/>
        </w:trPr>
        <w:tc>
          <w:tcPr>
            <w:tcW w:w="4317" w:type="dxa"/>
            <w:vMerge w:val="restart"/>
          </w:tcPr>
          <w:p w:rsidR="00645C9E" w:rsidRDefault="009961F9">
            <w:pPr>
              <w:pStyle w:val="normal0"/>
              <w:spacing w:before="118" w:line="288" w:lineRule="auto"/>
              <w:ind w:left="141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Adequação do valor global proposto pela OSC ao valor de referência constante do Edital</w:t>
            </w: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18" w:line="288" w:lineRule="auto"/>
              <w:ind w:left="283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O valor global proposto é, pelo menos, 10 % (dez por cento) mais baixo que o valor de referência</w:t>
            </w:r>
          </w:p>
        </w:tc>
        <w:tc>
          <w:tcPr>
            <w:tcW w:w="1845" w:type="dxa"/>
          </w:tcPr>
          <w:p w:rsidR="00645C9E" w:rsidRDefault="00645C9E">
            <w:pPr>
              <w:pStyle w:val="normal0"/>
              <w:spacing w:before="3" w:line="240" w:lineRule="auto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before="1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45C9E" w:rsidTr="00C834FC">
        <w:trPr>
          <w:cantSplit/>
          <w:trHeight w:val="1531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spacing w:before="118" w:line="288" w:lineRule="auto"/>
              <w:ind w:left="283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O valor global proposto é igual ou até 10% (dez por cento)</w:t>
            </w:r>
            <w:r w:rsidR="003D4759">
              <w:rPr>
                <w:rFonts w:ascii="Times New Roman" w:eastAsia="Times New Roman" w:hAnsi="Times New Roman" w:cs="Times New Roman"/>
                <w:sz w:val="24"/>
                <w:szCs w:val="24"/>
              </w:rPr>
              <w:t>, exclusive,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mais baixo do que o valor de referência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5C9E" w:rsidTr="00C834FC">
        <w:trPr>
          <w:cantSplit/>
          <w:trHeight w:val="882"/>
          <w:tblHeader/>
          <w:jc w:val="center"/>
        </w:trPr>
        <w:tc>
          <w:tcPr>
            <w:tcW w:w="4317" w:type="dxa"/>
            <w:vMerge/>
          </w:tcPr>
          <w:p w:rsidR="00645C9E" w:rsidRDefault="00645C9E">
            <w:pPr>
              <w:pStyle w:val="normal0"/>
              <w:ind w:left="-141" w:right="-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645C9E" w:rsidRDefault="009961F9">
            <w:pPr>
              <w:pStyle w:val="normal0"/>
              <w:numPr>
                <w:ilvl w:val="0"/>
                <w:numId w:val="31"/>
              </w:numPr>
              <w:spacing w:before="118" w:line="288" w:lineRule="auto"/>
              <w:ind w:left="283" w:right="8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valor global proposto é superior ao valor de referência</w:t>
            </w:r>
          </w:p>
        </w:tc>
        <w:tc>
          <w:tcPr>
            <w:tcW w:w="1845" w:type="dxa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5C9E" w:rsidTr="00C834FC">
        <w:trPr>
          <w:cantSplit/>
          <w:trHeight w:val="565"/>
          <w:tblHeader/>
          <w:jc w:val="center"/>
        </w:trPr>
        <w:tc>
          <w:tcPr>
            <w:tcW w:w="7977" w:type="dxa"/>
            <w:gridSpan w:val="2"/>
            <w:shd w:val="clear" w:color="auto" w:fill="BEBEBE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845" w:type="dxa"/>
            <w:shd w:val="clear" w:color="auto" w:fill="BEBEBE"/>
          </w:tcPr>
          <w:p w:rsidR="00645C9E" w:rsidRDefault="009961F9">
            <w:pPr>
              <w:pStyle w:val="normal0"/>
              <w:spacing w:before="118" w:line="240" w:lineRule="auto"/>
              <w:ind w:left="-141" w:right="-4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45C9E" w:rsidRDefault="009961F9">
      <w:pPr>
        <w:pStyle w:val="normal0"/>
        <w:widowControl w:val="0"/>
        <w:numPr>
          <w:ilvl w:val="0"/>
          <w:numId w:val="16"/>
        </w:numPr>
        <w:tabs>
          <w:tab w:val="left" w:pos="1896"/>
        </w:tabs>
        <w:spacing w:before="38" w:line="240" w:lineRule="auto"/>
        <w:ind w:left="-141" w:right="-4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Serão eliminadas as propostas:</w:t>
      </w:r>
    </w:p>
    <w:p w:rsidR="00645C9E" w:rsidRDefault="00645C9E">
      <w:pPr>
        <w:pStyle w:val="normal0"/>
        <w:spacing w:before="5"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1"/>
          <w:numId w:val="16"/>
        </w:numPr>
        <w:tabs>
          <w:tab w:val="left" w:pos="2401"/>
        </w:tabs>
        <w:spacing w:line="240" w:lineRule="auto"/>
        <w:ind w:left="566" w:right="-4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Cuja pontuação total for inferior a 6,0 (seis) pontos;</w:t>
      </w:r>
    </w:p>
    <w:p w:rsidR="00645C9E" w:rsidRDefault="00645C9E">
      <w:pPr>
        <w:pStyle w:val="normal0"/>
        <w:spacing w:line="240" w:lineRule="auto"/>
        <w:ind w:left="566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1"/>
          <w:numId w:val="16"/>
        </w:numPr>
        <w:tabs>
          <w:tab w:val="left" w:pos="2401"/>
        </w:tabs>
        <w:spacing w:line="240" w:lineRule="auto"/>
        <w:ind w:left="566" w:right="-4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Obtiver pontuação igual a zero nos critérios A, B e C;</w:t>
      </w:r>
    </w:p>
    <w:p w:rsidR="00645C9E" w:rsidRDefault="00645C9E">
      <w:pPr>
        <w:pStyle w:val="normal0"/>
        <w:spacing w:before="7" w:line="240" w:lineRule="auto"/>
        <w:ind w:left="566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1"/>
          <w:numId w:val="16"/>
        </w:numPr>
        <w:tabs>
          <w:tab w:val="left" w:pos="2400"/>
          <w:tab w:val="left" w:pos="2401"/>
        </w:tabs>
        <w:spacing w:line="240" w:lineRule="auto"/>
        <w:ind w:left="566" w:right="-43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estejam em desacordo com o Edital; ou</w:t>
      </w:r>
    </w:p>
    <w:p w:rsidR="00645C9E" w:rsidRDefault="00645C9E">
      <w:pPr>
        <w:pStyle w:val="normal0"/>
        <w:spacing w:before="3" w:line="240" w:lineRule="auto"/>
        <w:ind w:left="566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1"/>
          <w:numId w:val="16"/>
        </w:numPr>
        <w:tabs>
          <w:tab w:val="left" w:pos="2401"/>
        </w:tabs>
        <w:spacing w:line="240" w:lineRule="auto"/>
        <w:ind w:left="566" w:right="80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valor incompatível com o objeto da parceria, a ser avaliado pela Comissão de Seleção por meio de estimativa do valor especificado e de eventuais diligências complementares, que ateste a inviabilidade econômica e financeira da proposta, inclusive à luz do orçamento disponível.</w:t>
      </w:r>
    </w:p>
    <w:p w:rsidR="00645C9E" w:rsidRDefault="00645C9E">
      <w:pPr>
        <w:pStyle w:val="normal0"/>
        <w:spacing w:before="10"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numPr>
          <w:ilvl w:val="0"/>
          <w:numId w:val="16"/>
        </w:numPr>
        <w:tabs>
          <w:tab w:val="left" w:pos="1905"/>
        </w:tabs>
        <w:ind w:left="-141" w:right="80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Será obrigatoriamente justificada a seleção de proposta que não for a mais adequada ao valor de referência constante do chamamento público, levando-se em conta a pontuação total obtida e a proporção entre as metas e os resultados previstos em relação ao valor proposto (art. 27, §5º, da Lei nº 13.019/2014).</w:t>
      </w:r>
    </w:p>
    <w:p w:rsidR="00645C9E" w:rsidRDefault="00645C9E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Comissão de Seleção poderá requerer da OSC informações adicionais, inclusive o detalhamento do orçamento, quando necessário.</w:t>
      </w:r>
    </w:p>
    <w:p w:rsidR="00645C9E" w:rsidRDefault="00645C9E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As propostas não eliminadas serão classificadas, em ordem decrescente, de acordo com a pontuação total obtida no Índice Técnico da Proposta (ITP). A pontuação de cada um dos critérios de julgamento será obtida através da média aritmética das notas lançadas por cada um dos membros da Comissão de Seleção.</w:t>
      </w:r>
    </w:p>
    <w:p w:rsidR="00645C9E" w:rsidRDefault="00645C9E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widowControl w:val="0"/>
        <w:tabs>
          <w:tab w:val="left" w:pos="1905"/>
        </w:tabs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45C9E">
          <w:pgSz w:w="16834" w:h="11909" w:orient="landscape"/>
          <w:pgMar w:top="1140" w:right="400" w:bottom="280" w:left="127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5. No caso de empate entre duas ou mais propostas, o desempate será feito com base na maior pontuação obtida no critério de julgamento (A). Persistindo a situação de igualdade, o desempate será feito com base na maior pontuação obtida, sucessivamente, nos critérios de julgamento (C), (B) e (E). Caso essas regras não solucionem o empate, será considerada vencedora a entidade com mais tempo de constituição e, em último caso, a qu</w:t>
      </w:r>
      <w:r w:rsidR="00B3275E">
        <w:rPr>
          <w:rFonts w:ascii="Times New Roman" w:eastAsia="Times New Roman" w:hAnsi="Times New Roman" w:cs="Times New Roman"/>
          <w:sz w:val="24"/>
          <w:szCs w:val="24"/>
        </w:rPr>
        <w:t xml:space="preserve">estão será decidida por sorteio. </w:t>
      </w:r>
    </w:p>
    <w:p w:rsidR="00645C9E" w:rsidRDefault="00645C9E" w:rsidP="00B3275E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sz w:val="24"/>
          <w:szCs w:val="24"/>
        </w:rPr>
      </w:pPr>
    </w:p>
    <w:sectPr w:rsidR="00645C9E" w:rsidSect="00645C9E">
      <w:pgSz w:w="11909" w:h="16834"/>
      <w:pgMar w:top="1380" w:right="72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D0" w:rsidRDefault="001949D0" w:rsidP="00645C9E">
      <w:pPr>
        <w:spacing w:line="240" w:lineRule="auto"/>
      </w:pPr>
      <w:r>
        <w:separator/>
      </w:r>
    </w:p>
  </w:endnote>
  <w:endnote w:type="continuationSeparator" w:id="1">
    <w:p w:rsidR="001949D0" w:rsidRDefault="001949D0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D0" w:rsidRDefault="001949D0" w:rsidP="00645C9E">
      <w:pPr>
        <w:spacing w:line="240" w:lineRule="auto"/>
      </w:pPr>
      <w:r>
        <w:separator/>
      </w:r>
    </w:p>
  </w:footnote>
  <w:footnote w:type="continuationSeparator" w:id="1">
    <w:p w:rsidR="001949D0" w:rsidRDefault="001949D0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150F14"/>
    <w:rsid w:val="001949D0"/>
    <w:rsid w:val="001F139B"/>
    <w:rsid w:val="00301466"/>
    <w:rsid w:val="0034635E"/>
    <w:rsid w:val="003D4759"/>
    <w:rsid w:val="003D4964"/>
    <w:rsid w:val="003E6D32"/>
    <w:rsid w:val="003F528B"/>
    <w:rsid w:val="004332C2"/>
    <w:rsid w:val="00492625"/>
    <w:rsid w:val="004A32F8"/>
    <w:rsid w:val="00502C88"/>
    <w:rsid w:val="005030B2"/>
    <w:rsid w:val="0051446E"/>
    <w:rsid w:val="005247CE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F1916"/>
    <w:rsid w:val="00B3275E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44390"/>
    <w:rsid w:val="00D92B12"/>
    <w:rsid w:val="00DC634D"/>
    <w:rsid w:val="00D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75E"/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80DD-142D-421B-8076-AE3DA540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2024-04-24T21:03:00Z</dcterms:created>
  <dcterms:modified xsi:type="dcterms:W3CDTF">2024-04-24T21:03:00Z</dcterms:modified>
</cp:coreProperties>
</file>