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6E50" w14:textId="77777777" w:rsidR="00EA306E" w:rsidRPr="00D90F94" w:rsidRDefault="00EA306E" w:rsidP="00EA306E">
      <w:pPr>
        <w:pStyle w:val="Standard"/>
        <w:shd w:val="clear" w:color="auto" w:fill="DFDFDF"/>
        <w:jc w:val="center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13. PRESTAÇÃO DE CONTAS</w:t>
      </w:r>
    </w:p>
    <w:p w14:paraId="6082A44A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b/>
          <w:sz w:val="18"/>
          <w:szCs w:val="18"/>
        </w:rPr>
      </w:pPr>
    </w:p>
    <w:p w14:paraId="0EE591B0" w14:textId="77777777" w:rsidR="00EA306E" w:rsidRPr="005F7658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5F7658">
        <w:rPr>
          <w:rFonts w:ascii="Segoe UI" w:hAnsi="Segoe UI" w:cs="Segoe UI"/>
          <w:sz w:val="18"/>
          <w:szCs w:val="18"/>
        </w:rPr>
        <w:t xml:space="preserve">13.1 O convenente deverá encaminhar prestações de contas de todos os recursos recebidos, conforme Plano de Trabalho previamente aprovado. </w:t>
      </w:r>
    </w:p>
    <w:p w14:paraId="1812C882" w14:textId="77777777" w:rsidR="00EA306E" w:rsidRPr="005F7658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23A2E637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5F7658">
        <w:rPr>
          <w:rFonts w:ascii="Segoe UI" w:hAnsi="Segoe UI" w:cs="Segoe UI"/>
          <w:sz w:val="18"/>
          <w:szCs w:val="18"/>
        </w:rPr>
        <w:t xml:space="preserve">13.2 A prestação de contas, </w:t>
      </w:r>
      <w:r w:rsidRPr="00D809C8">
        <w:rPr>
          <w:rFonts w:ascii="Segoe UI" w:hAnsi="Segoe UI" w:cs="Segoe UI"/>
          <w:sz w:val="18"/>
          <w:szCs w:val="18"/>
        </w:rPr>
        <w:t>além do que</w:t>
      </w:r>
      <w:r>
        <w:rPr>
          <w:rFonts w:ascii="Segoe UI" w:hAnsi="Segoe UI" w:cs="Segoe UI"/>
          <w:sz w:val="18"/>
          <w:szCs w:val="18"/>
        </w:rPr>
        <w:t xml:space="preserve"> consta na Resolução 144/2013 do TCE-BA</w:t>
      </w:r>
      <w:r w:rsidRPr="00D809C8">
        <w:rPr>
          <w:rFonts w:ascii="Segoe UI" w:hAnsi="Segoe UI" w:cs="Segoe UI"/>
          <w:sz w:val="18"/>
          <w:szCs w:val="18"/>
        </w:rPr>
        <w:t>, será encaminhada com seguintes</w:t>
      </w:r>
      <w:r w:rsidRPr="005F7658">
        <w:rPr>
          <w:rFonts w:ascii="Segoe UI" w:hAnsi="Segoe UI" w:cs="Segoe UI"/>
          <w:sz w:val="18"/>
          <w:szCs w:val="18"/>
        </w:rPr>
        <w:t xml:space="preserve"> documentos:</w:t>
      </w:r>
    </w:p>
    <w:p w14:paraId="3B668E4B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686DA391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Ofício de encaminhamento;</w:t>
      </w:r>
    </w:p>
    <w:p w14:paraId="5128E716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Relatório de execução físico-financeiro;</w:t>
      </w:r>
    </w:p>
    <w:p w14:paraId="29362909" w14:textId="77777777" w:rsidR="00EA306E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Relatório de cumprimento do objeto</w:t>
      </w:r>
    </w:p>
    <w:p w14:paraId="1DD10348" w14:textId="77777777" w:rsidR="00EA306E" w:rsidRPr="006E356F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6E356F">
        <w:rPr>
          <w:rFonts w:ascii="Segoe UI" w:hAnsi="Segoe UI" w:cs="Segoe UI"/>
          <w:sz w:val="18"/>
          <w:szCs w:val="18"/>
        </w:rPr>
        <w:t>Relatório Técnico do Município – Festejos Juninos 2022 (ANEXO XVI)</w:t>
      </w:r>
    </w:p>
    <w:p w14:paraId="76779FCB" w14:textId="77777777" w:rsidR="00EA306E" w:rsidRPr="00533B3D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7C49D4">
        <w:rPr>
          <w:rFonts w:ascii="Segoe UI" w:hAnsi="Segoe UI" w:cs="Segoe UI"/>
          <w:sz w:val="18"/>
          <w:szCs w:val="18"/>
        </w:rPr>
        <w:t xml:space="preserve">Comprovação do evento </w:t>
      </w:r>
      <w:r w:rsidRPr="00533B3D">
        <w:rPr>
          <w:rFonts w:ascii="Segoe UI" w:hAnsi="Segoe UI" w:cs="Segoe UI"/>
          <w:sz w:val="18"/>
          <w:szCs w:val="18"/>
        </w:rPr>
        <w:t>(material referente a divulgação e “pós-evento”, fotos e notícias veiculadas na imprensa (jornais, revistas, sites/blogs e redes sociais), dentre outros registros que informem sobre a execução das metas conforme plano de trabalho);</w:t>
      </w:r>
    </w:p>
    <w:p w14:paraId="663A2940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Formulário de execução da receita e despesa;</w:t>
      </w:r>
    </w:p>
    <w:p w14:paraId="604D7BDA" w14:textId="77777777" w:rsidR="00EA306E" w:rsidRPr="00D90F94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Relação dos pagamentos efetuados e respectivos comprovantes;</w:t>
      </w:r>
    </w:p>
    <w:p w14:paraId="179540DA" w14:textId="77777777" w:rsidR="00EA306E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>Demonstrativo das origens e aplicações dos recursos, assinado por profissional responsável pela contabilidade, com indicação do número do seu registro no Conselho Regional de Contabilidade, bem como os comprovantes de pagamentos com a descrição do convênio e atesto de serviços prestados;</w:t>
      </w:r>
    </w:p>
    <w:p w14:paraId="53E598D3" w14:textId="77777777" w:rsidR="00EA306E" w:rsidRPr="00533B3D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533B3D">
        <w:rPr>
          <w:rFonts w:ascii="Segoe UI" w:hAnsi="Segoe UI" w:cs="Segoe UI"/>
          <w:sz w:val="18"/>
          <w:szCs w:val="18"/>
        </w:rPr>
        <w:t>Extrato(s) bancário(s) da conta corrente exclusiva, correspondente(s) a todo período de vigência do convênio;</w:t>
      </w:r>
    </w:p>
    <w:p w14:paraId="2A24C83F" w14:textId="77777777" w:rsidR="00EA306E" w:rsidRPr="004F47FA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>Conciliação bancária.</w:t>
      </w:r>
    </w:p>
    <w:p w14:paraId="6022DA73" w14:textId="77777777" w:rsidR="00EA306E" w:rsidRPr="004F47FA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 xml:space="preserve">Os processos previstos no inciso I do §2º do artigo </w:t>
      </w:r>
      <w:r>
        <w:rPr>
          <w:rFonts w:ascii="Segoe UI" w:hAnsi="Segoe UI" w:cs="Segoe UI"/>
          <w:sz w:val="18"/>
          <w:szCs w:val="18"/>
        </w:rPr>
        <w:t>8</w:t>
      </w:r>
      <w:r w:rsidRPr="004F47FA">
        <w:rPr>
          <w:rFonts w:ascii="Segoe UI" w:hAnsi="Segoe UI" w:cs="Segoe UI"/>
          <w:sz w:val="18"/>
          <w:szCs w:val="18"/>
        </w:rPr>
        <w:t xml:space="preserve">º da Resolução 144/2013 do TCE-BA, </w:t>
      </w:r>
      <w:proofErr w:type="spellStart"/>
      <w:r w:rsidRPr="004F47FA">
        <w:rPr>
          <w:rFonts w:ascii="Segoe UI" w:hAnsi="Segoe UI" w:cs="Segoe UI"/>
          <w:sz w:val="18"/>
          <w:szCs w:val="18"/>
        </w:rPr>
        <w:t>devera</w:t>
      </w:r>
      <w:proofErr w:type="spellEnd"/>
      <w:r w:rsidRPr="004F47FA">
        <w:rPr>
          <w:rFonts w:ascii="Segoe UI" w:hAnsi="Segoe UI" w:cs="Segoe UI"/>
          <w:sz w:val="18"/>
          <w:szCs w:val="18"/>
        </w:rPr>
        <w:t xml:space="preserve"> ser encaminhado em meio magnético, sendo os arquivos em formato PDF.</w:t>
      </w:r>
    </w:p>
    <w:p w14:paraId="34234525" w14:textId="77777777" w:rsidR="00EA306E" w:rsidRPr="004F47FA" w:rsidRDefault="00EA306E" w:rsidP="00EA306E">
      <w:pPr>
        <w:pStyle w:val="Standard"/>
        <w:numPr>
          <w:ilvl w:val="0"/>
          <w:numId w:val="1"/>
        </w:numPr>
        <w:jc w:val="both"/>
        <w:rPr>
          <w:rFonts w:ascii="Segoe UI" w:hAnsi="Segoe UI" w:cs="Segoe UI"/>
          <w:sz w:val="18"/>
          <w:szCs w:val="18"/>
        </w:rPr>
      </w:pPr>
      <w:r w:rsidRPr="004F47FA">
        <w:rPr>
          <w:rFonts w:ascii="Segoe UI" w:hAnsi="Segoe UI" w:cs="Segoe UI"/>
          <w:sz w:val="18"/>
          <w:szCs w:val="18"/>
        </w:rPr>
        <w:t>As Declarações previstas nos incisos II, III e IV do §2º do artigo 8º da Resolução 144/2013 do TCE-BA deverão atender ao disposto na RESOLUÇÃO Nº 000090/2017 - PROTOCOLO: TCE/000082/2017 do TCE_BA (</w:t>
      </w:r>
      <w:proofErr w:type="spellStart"/>
      <w:r w:rsidRPr="004F47FA">
        <w:rPr>
          <w:rFonts w:ascii="Segoe UI" w:hAnsi="Segoe UI" w:cs="Segoe UI"/>
          <w:sz w:val="18"/>
          <w:szCs w:val="18"/>
        </w:rPr>
        <w:t>copia</w:t>
      </w:r>
      <w:proofErr w:type="spellEnd"/>
      <w:r w:rsidRPr="004F47FA">
        <w:rPr>
          <w:rFonts w:ascii="Segoe UI" w:hAnsi="Segoe UI" w:cs="Segoe UI"/>
          <w:sz w:val="18"/>
          <w:szCs w:val="18"/>
        </w:rPr>
        <w:t xml:space="preserve"> disponível no site </w:t>
      </w:r>
      <w:hyperlink r:id="rId7" w:history="1">
        <w:r w:rsidRPr="004F47FA">
          <w:rPr>
            <w:rStyle w:val="Hyperlink"/>
            <w:rFonts w:ascii="Segoe UI" w:hAnsi="Segoe UI" w:cs="Segoe UI"/>
            <w:sz w:val="18"/>
            <w:szCs w:val="18"/>
          </w:rPr>
          <w:t>www.bahiatursa.ba.gov.br</w:t>
        </w:r>
      </w:hyperlink>
      <w:r w:rsidRPr="004F47FA">
        <w:rPr>
          <w:rFonts w:ascii="Segoe UI" w:hAnsi="Segoe UI" w:cs="Segoe UI"/>
          <w:sz w:val="18"/>
          <w:szCs w:val="18"/>
        </w:rPr>
        <w:t>)</w:t>
      </w:r>
    </w:p>
    <w:p w14:paraId="48206E56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1F35C78A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6D34BAFE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13.3 O relatório de execução físico-financeiro, referido no item 13.2, alínea “</w:t>
      </w:r>
      <w:r>
        <w:rPr>
          <w:rFonts w:ascii="Segoe UI" w:hAnsi="Segoe UI" w:cs="Segoe UI"/>
          <w:sz w:val="18"/>
          <w:szCs w:val="18"/>
        </w:rPr>
        <w:t>b</w:t>
      </w:r>
      <w:r w:rsidRPr="00D90F94">
        <w:rPr>
          <w:rFonts w:ascii="Segoe UI" w:hAnsi="Segoe UI" w:cs="Segoe UI"/>
          <w:sz w:val="18"/>
          <w:szCs w:val="18"/>
        </w:rPr>
        <w:t>”, deverá informar o percentual de realização do objeto do convênio e sua compatibilidade com o montante financeiro dos recursos recebidos e atendimento dos fins propostos.</w:t>
      </w:r>
    </w:p>
    <w:p w14:paraId="1AF69584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00D2AA85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13.6 O demonstrativo das origens e aplicações dos recursos, referido nos itens 13.2, alínea “h”, incluirá, além dos recursos estaduais repassados, os rendimentos decorrentes da aplicação no mercado financeiro e os recursos previstos de contrapartida do convenente, assim como as aplicações dos recursos totais e os saldos porventura devolvidos.</w:t>
      </w:r>
    </w:p>
    <w:p w14:paraId="2CE46152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507658B0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13.7 Transcorrido o período previsto no cronograma de execução para cumprimento da(s) etapas(s) e/ou fase (s) de execução correspondente ao montante dos recursos já recebidos sem que tenha sido apresentada a prestação de contas respectiva, a convenente será registrada como inadimplente no Sistema de Informações Gerenciais de Convênios e Contratos – SICON</w:t>
      </w:r>
      <w:r>
        <w:rPr>
          <w:rFonts w:ascii="Segoe UI" w:hAnsi="Segoe UI" w:cs="Segoe UI"/>
          <w:sz w:val="18"/>
          <w:szCs w:val="18"/>
        </w:rPr>
        <w:t>.</w:t>
      </w:r>
    </w:p>
    <w:p w14:paraId="67352B5E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7DCDABFB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EF0303">
        <w:rPr>
          <w:rFonts w:ascii="Segoe UI" w:hAnsi="Segoe UI" w:cs="Segoe UI"/>
          <w:sz w:val="18"/>
          <w:szCs w:val="18"/>
        </w:rPr>
        <w:t>13.8 A aprovação da prestação de contas fica condicionada à verificação da regularidade dos documentos apresentados, conforme previsto na legislação em vigor, bem assim à certificação do cumprimento da etapa (s) e/ou fase (s) de execução correspondente, mediante parecer circunstanciado do servidor responsável pela fiscalização do convênio indicado no termo de convênio, na forma do item 12.3.</w:t>
      </w:r>
    </w:p>
    <w:p w14:paraId="564BBF88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32FFAE48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13.9 A prestação de contas não exime a convenente de comprovar a regular aplicação dos recursos ao Tribunal de Contas do Estado e a outros órgãos de controle interno e externo da Administração, nos termos da legislação vigente.</w:t>
      </w:r>
    </w:p>
    <w:p w14:paraId="15CDCCE3" w14:textId="77777777" w:rsidR="00EA306E" w:rsidRPr="00D90F94" w:rsidRDefault="00EA306E" w:rsidP="00EA306E">
      <w:pPr>
        <w:pStyle w:val="Standard"/>
        <w:jc w:val="both"/>
        <w:rPr>
          <w:rFonts w:ascii="Segoe UI" w:hAnsi="Segoe UI" w:cs="Segoe UI"/>
          <w:sz w:val="18"/>
          <w:szCs w:val="18"/>
        </w:rPr>
      </w:pPr>
    </w:p>
    <w:p w14:paraId="1F5BAACA" w14:textId="77777777" w:rsidR="0063297B" w:rsidRDefault="0063297B"/>
    <w:sectPr w:rsidR="0063297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261B" w14:textId="77777777" w:rsidR="00824BEE" w:rsidRDefault="00824BEE" w:rsidP="00824BEE">
      <w:pPr>
        <w:spacing w:after="0" w:line="240" w:lineRule="auto"/>
      </w:pPr>
      <w:r>
        <w:separator/>
      </w:r>
    </w:p>
  </w:endnote>
  <w:endnote w:type="continuationSeparator" w:id="0">
    <w:p w14:paraId="4F31681C" w14:textId="77777777" w:rsidR="00824BEE" w:rsidRDefault="00824BEE" w:rsidP="0082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8C01" w14:textId="77777777" w:rsidR="00824BEE" w:rsidRDefault="00824BEE" w:rsidP="00824BEE">
      <w:pPr>
        <w:spacing w:after="0" w:line="240" w:lineRule="auto"/>
      </w:pPr>
      <w:r>
        <w:separator/>
      </w:r>
    </w:p>
  </w:footnote>
  <w:footnote w:type="continuationSeparator" w:id="0">
    <w:p w14:paraId="54095C73" w14:textId="77777777" w:rsidR="00824BEE" w:rsidRDefault="00824BEE" w:rsidP="0082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739A" w14:textId="7D771A40" w:rsidR="00824BEE" w:rsidRDefault="00824BEE" w:rsidP="00824BEE">
    <w:pPr>
      <w:pStyle w:val="Cabealho"/>
      <w:jc w:val="right"/>
    </w:pPr>
    <w:r>
      <w:rPr>
        <w:noProof/>
      </w:rPr>
      <w:drawing>
        <wp:inline distT="0" distB="0" distL="0" distR="0" wp14:anchorId="5D36FB5D" wp14:editId="21561134">
          <wp:extent cx="1856105" cy="819667"/>
          <wp:effectExtent l="0" t="0" r="0" b="0"/>
          <wp:docPr id="22" name="Imagem 2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92" cy="83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192"/>
    <w:multiLevelType w:val="hybridMultilevel"/>
    <w:tmpl w:val="2B92D3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1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6E"/>
    <w:rsid w:val="0063297B"/>
    <w:rsid w:val="00824BEE"/>
    <w:rsid w:val="00B009DB"/>
    <w:rsid w:val="00EA306E"/>
    <w:rsid w:val="00F3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98CD"/>
  <w15:chartTrackingRefBased/>
  <w15:docId w15:val="{30CCCDFA-928F-4372-919D-83C4E7C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3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Hyperlink">
    <w:name w:val="Hyperlink"/>
    <w:uiPriority w:val="99"/>
    <w:unhideWhenUsed/>
    <w:rsid w:val="00EA306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4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BEE"/>
  </w:style>
  <w:style w:type="paragraph" w:styleId="Rodap">
    <w:name w:val="footer"/>
    <w:basedOn w:val="Normal"/>
    <w:link w:val="RodapChar"/>
    <w:uiPriority w:val="99"/>
    <w:unhideWhenUsed/>
    <w:rsid w:val="00824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hiatursa.ba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2</cp:revision>
  <dcterms:created xsi:type="dcterms:W3CDTF">2022-07-04T15:26:00Z</dcterms:created>
  <dcterms:modified xsi:type="dcterms:W3CDTF">2022-07-04T15:26:00Z</dcterms:modified>
</cp:coreProperties>
</file>