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36FF" w14:textId="77777777" w:rsidR="00934E89" w:rsidRPr="00F0522A" w:rsidRDefault="00934E89" w:rsidP="00934E89">
      <w:pPr>
        <w:pStyle w:val="Standard"/>
        <w:shd w:val="clear" w:color="auto" w:fill="DFDFDF"/>
        <w:tabs>
          <w:tab w:val="center" w:pos="4252"/>
        </w:tabs>
        <w:jc w:val="center"/>
        <w:rPr>
          <w:rFonts w:ascii="Segoe UI" w:hAnsi="Segoe UI" w:cs="Segoe UI"/>
          <w:b/>
          <w:sz w:val="24"/>
          <w:szCs w:val="24"/>
        </w:rPr>
      </w:pPr>
      <w:r w:rsidRPr="00F0522A">
        <w:rPr>
          <w:rFonts w:ascii="Segoe UI" w:hAnsi="Segoe UI" w:cs="Segoe UI"/>
          <w:b/>
          <w:sz w:val="24"/>
          <w:szCs w:val="24"/>
        </w:rPr>
        <w:t>CHAMAMENTO PÚBLICO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F0522A">
        <w:rPr>
          <w:rFonts w:ascii="Segoe UI" w:hAnsi="Segoe UI" w:cs="Segoe UI"/>
          <w:b/>
          <w:sz w:val="24"/>
          <w:szCs w:val="24"/>
        </w:rPr>
        <w:t>Nº 001/2024</w:t>
      </w:r>
    </w:p>
    <w:p w14:paraId="3DACAF86" w14:textId="77777777" w:rsidR="00934E89" w:rsidRPr="00F0522A" w:rsidRDefault="00934E89" w:rsidP="00934E89">
      <w:pPr>
        <w:pStyle w:val="Standard"/>
        <w:shd w:val="clear" w:color="auto" w:fill="DFDFDF"/>
        <w:tabs>
          <w:tab w:val="center" w:pos="4252"/>
        </w:tabs>
        <w:jc w:val="center"/>
        <w:rPr>
          <w:rFonts w:ascii="Segoe UI" w:hAnsi="Segoe UI" w:cs="Segoe UI"/>
          <w:b/>
          <w:sz w:val="24"/>
          <w:szCs w:val="24"/>
        </w:rPr>
      </w:pPr>
      <w:r w:rsidRPr="00F0522A">
        <w:rPr>
          <w:rFonts w:ascii="Segoe UI" w:hAnsi="Segoe UI" w:cs="Segoe UI"/>
          <w:b/>
          <w:sz w:val="24"/>
          <w:szCs w:val="24"/>
        </w:rPr>
        <w:t>“CARNAVAL DA BAHIA 2024”</w:t>
      </w:r>
    </w:p>
    <w:p w14:paraId="24D68E2F" w14:textId="77777777" w:rsidR="00934E89" w:rsidRDefault="00934E89" w:rsidP="00934E89"/>
    <w:p w14:paraId="56196722" w14:textId="77777777" w:rsidR="00934E89" w:rsidRPr="00D90F94" w:rsidRDefault="00934E89" w:rsidP="00934E89">
      <w:pPr>
        <w:pStyle w:val="Standard"/>
        <w:shd w:val="clear" w:color="auto" w:fill="DFDFDF"/>
        <w:jc w:val="center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PRESTAÇÃO DE CONTAS</w:t>
      </w:r>
    </w:p>
    <w:p w14:paraId="279656D3" w14:textId="77777777" w:rsidR="00934E89" w:rsidRDefault="00934E89" w:rsidP="00934E89">
      <w:pPr>
        <w:jc w:val="both"/>
      </w:pPr>
      <w:r>
        <w:t>1. O convenente deverá encaminhar prestações de contas de todos os recursos recebidos, conforme Plano de Trabalho previamente aprovado.</w:t>
      </w:r>
    </w:p>
    <w:p w14:paraId="4D8D9D77" w14:textId="77777777" w:rsidR="00934E89" w:rsidRDefault="00934E89" w:rsidP="00934E89">
      <w:pPr>
        <w:jc w:val="both"/>
      </w:pPr>
      <w:r>
        <w:t>2. A prestação de contas, além do que consta na Resolução 144/2013 do TCE-BA, será encaminhada com seguintes documentos:</w:t>
      </w:r>
    </w:p>
    <w:p w14:paraId="4CDEBCA4" w14:textId="77777777" w:rsidR="00934E89" w:rsidRDefault="00934E89" w:rsidP="00934E89">
      <w:r>
        <w:t>a) Ofício de encaminhamento;</w:t>
      </w:r>
    </w:p>
    <w:p w14:paraId="17F7B453" w14:textId="77777777" w:rsidR="00934E89" w:rsidRDefault="00934E89" w:rsidP="00934E89">
      <w:r>
        <w:t>b) Relatório de execução físico-financeiro;</w:t>
      </w:r>
    </w:p>
    <w:p w14:paraId="14CD9857" w14:textId="77777777" w:rsidR="00934E89" w:rsidRDefault="00934E89" w:rsidP="00934E89">
      <w:r>
        <w:t>c) Relatório de cumprimento do objeto;</w:t>
      </w:r>
    </w:p>
    <w:p w14:paraId="2E5A0052" w14:textId="77777777" w:rsidR="00934E89" w:rsidRDefault="00934E89" w:rsidP="00934E89">
      <w:pPr>
        <w:jc w:val="both"/>
      </w:pPr>
      <w:r>
        <w:t>d) Comprovação do evento (material referente a divulgação e “pós-evento”, fotos e notícias veiculadas na imprensa (jornais, revistas, sites/blogs e redes sociais), dentre outros registros que informem sobre a execução das metas conforme plano de trabalho);</w:t>
      </w:r>
    </w:p>
    <w:p w14:paraId="4DCB24E7" w14:textId="77777777" w:rsidR="00934E89" w:rsidRDefault="00934E89" w:rsidP="00934E89">
      <w:r>
        <w:t>e) Formulário de execução da receita e despesa;</w:t>
      </w:r>
    </w:p>
    <w:p w14:paraId="055386F7" w14:textId="77777777" w:rsidR="00934E89" w:rsidRDefault="00934E89" w:rsidP="00934E89">
      <w:r>
        <w:t>f) Relação dos pagamentos efetuados e respectivos comprovantes;</w:t>
      </w:r>
    </w:p>
    <w:p w14:paraId="706D6B6C" w14:textId="77777777" w:rsidR="00934E89" w:rsidRDefault="00934E89" w:rsidP="00934E89">
      <w:pPr>
        <w:jc w:val="both"/>
      </w:pPr>
      <w:r>
        <w:t>g) Demonstrativo das origens e aplicações dos recursos, assinado por profissional responsável pela contabilidade, com indicação do número do seu registro no Conselho Regional de Contabilidade, bem como os comprovantes de pagamentos com a descrição do convênio e atesto de serviços prestados;</w:t>
      </w:r>
    </w:p>
    <w:p w14:paraId="30BF0931" w14:textId="77777777" w:rsidR="00934E89" w:rsidRDefault="00934E89" w:rsidP="00934E89">
      <w:pPr>
        <w:jc w:val="both"/>
      </w:pPr>
      <w:r>
        <w:t>h) Extrato (s) bancário (s) da conta corrente exclusiva, correspondente (s) a todo período de vigência do convênio;</w:t>
      </w:r>
    </w:p>
    <w:p w14:paraId="2BD0797D" w14:textId="77777777" w:rsidR="00934E89" w:rsidRDefault="00934E89" w:rsidP="00934E89">
      <w:r>
        <w:t>i) Conciliação bancária.</w:t>
      </w:r>
    </w:p>
    <w:p w14:paraId="77D17E55" w14:textId="77777777" w:rsidR="00934E89" w:rsidRDefault="00934E89" w:rsidP="00934E89">
      <w:pPr>
        <w:jc w:val="both"/>
      </w:pPr>
      <w:r>
        <w:t>j). Os processos previstos no inciso I do §2º do artigo 8º da Resolução 144/2013 do TCE-BA, deverá ser encaminhado em meio magnético, sendo os arquivos em formato PDF.</w:t>
      </w:r>
    </w:p>
    <w:p w14:paraId="3AE87F7C" w14:textId="77777777" w:rsidR="00934E89" w:rsidRDefault="00934E89" w:rsidP="00934E89">
      <w:pPr>
        <w:jc w:val="both"/>
      </w:pPr>
      <w:r>
        <w:t>k) As Declarações previstas nos incisos II, III e IV do §2º do artigo 8º da Resolução 144/2013 do TCE-BA deverão atender ao disposto na RESOLUÇÃO Nº 000090/2017 - PROTOCOLO: TCE/000082/2017 do TCE_BA (</w:t>
      </w:r>
      <w:proofErr w:type="spellStart"/>
      <w:r>
        <w:t>copia</w:t>
      </w:r>
      <w:proofErr w:type="spellEnd"/>
      <w:r>
        <w:t xml:space="preserve"> disponível no site </w:t>
      </w:r>
      <w:hyperlink r:id="rId4" w:history="1">
        <w:r w:rsidRPr="00A37132">
          <w:rPr>
            <w:rStyle w:val="Hyperlink"/>
          </w:rPr>
          <w:t>www.sufotur.ba.gov.br</w:t>
        </w:r>
      </w:hyperlink>
      <w:r>
        <w:t>)</w:t>
      </w:r>
    </w:p>
    <w:p w14:paraId="046F9496" w14:textId="77777777" w:rsidR="00934E89" w:rsidRDefault="00934E89" w:rsidP="00934E89">
      <w:pPr>
        <w:jc w:val="both"/>
      </w:pPr>
      <w:r>
        <w:t>3. O relatório de execução físico-financeiro, referido no item 2, alínea “b”, deverá informar o percentual de realização do objeto do convênio e sua compatibilidade com o montante financeiro dos recursos recebidos e atendimento dos fins propostos.</w:t>
      </w:r>
    </w:p>
    <w:p w14:paraId="47A3FE7B" w14:textId="77777777" w:rsidR="00934E89" w:rsidRDefault="00934E89" w:rsidP="00934E89">
      <w:pPr>
        <w:jc w:val="both"/>
      </w:pPr>
      <w:r>
        <w:t>3.1 O demonstrativo das origens e aplicações dos recursos, referido nos itens 2, alínea “g”, incluirá, além dos recursos estaduais repassados, os rendimentos decorrentes da aplicação no mercado financeiro e os recursos previstos de contrapartida do convenente, assim como as aplicações dos recursos totais e os saldos porventura devolvidos.</w:t>
      </w:r>
    </w:p>
    <w:p w14:paraId="7966932A" w14:textId="77777777" w:rsidR="00934E89" w:rsidRDefault="00934E89" w:rsidP="00934E89">
      <w:pPr>
        <w:jc w:val="both"/>
      </w:pPr>
      <w:r>
        <w:t xml:space="preserve">3.2 transcorrido o período previsto no cronograma de execução para cumprimento da (s) etapa (s) e/ou fase (s) de execução correspondente ao montante dos recursos já recebidos </w:t>
      </w:r>
      <w:r>
        <w:lastRenderedPageBreak/>
        <w:t>sem que tenha sido apresentada a prestação de contas respectiva, a convenente será registrada como inadimplente no Sistema de Informações Gerenciais de Convênios e Contratos – SICON.</w:t>
      </w:r>
    </w:p>
    <w:p w14:paraId="6F28B455" w14:textId="77777777" w:rsidR="00934E89" w:rsidRDefault="00934E89" w:rsidP="00934E89">
      <w:pPr>
        <w:jc w:val="both"/>
      </w:pPr>
      <w:r>
        <w:t>3.3 A aprovação da prestação de contas fica condicionada à verificação da regularidade dos documentos apresentados, conforme previsto na legislação em vigor, bem assim à certificação do cumprimento da etapa (s) e/ou fase (s) de execução correspondente, mediante parecer circunstanciado do servidor responsável pela fiscalização do convênio indicado no termo de convênio.</w:t>
      </w:r>
    </w:p>
    <w:p w14:paraId="079B074F" w14:textId="77777777" w:rsidR="00934E89" w:rsidRDefault="00934E89" w:rsidP="00934E89">
      <w:pPr>
        <w:jc w:val="both"/>
      </w:pPr>
      <w:r>
        <w:t>3.4 A prestação de contas não exime a convenente de comprovar a regular aplicação dos recursos ao Tribunal de Contas do Estado e a outros órgãos de controle interno e externo da Administração, nos termos da legislação vigente.</w:t>
      </w:r>
    </w:p>
    <w:p w14:paraId="617420DD" w14:textId="77777777" w:rsidR="00934E89" w:rsidRPr="00D90F94" w:rsidRDefault="00934E89" w:rsidP="00934E89">
      <w:pPr>
        <w:pStyle w:val="Standard"/>
        <w:shd w:val="clear" w:color="auto" w:fill="DFDFDF"/>
        <w:tabs>
          <w:tab w:val="center" w:pos="4252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ab/>
      </w:r>
      <w:r w:rsidRPr="00A849EF">
        <w:rPr>
          <w:rFonts w:ascii="Segoe UI" w:hAnsi="Segoe UI" w:cs="Segoe UI"/>
          <w:b/>
          <w:sz w:val="18"/>
          <w:szCs w:val="18"/>
        </w:rPr>
        <w:t>FISCALIZAÇÃO DO CONVÊNIO</w:t>
      </w:r>
    </w:p>
    <w:p w14:paraId="3F1D9CD8" w14:textId="77777777" w:rsidR="00934E89" w:rsidRDefault="00934E89" w:rsidP="00934E89">
      <w:pPr>
        <w:jc w:val="both"/>
      </w:pPr>
      <w:r>
        <w:t xml:space="preserve">4. A concedente exercerá, diretamente, as atribuições de acompanhamento, fiscalização e avaliação da execução do convênio, além do exame das despesas, com a avaliação técnica relativa à aplicação dos recursos repassados, </w:t>
      </w:r>
      <w:proofErr w:type="gramStart"/>
      <w:r>
        <w:t>afim</w:t>
      </w:r>
      <w:proofErr w:type="gramEnd"/>
      <w:r>
        <w:t xml:space="preserve"> de verificar sua correta utilização, mediante a elaboração de relatórios, atestação da satisfatória realização do objeto do convênio.</w:t>
      </w:r>
    </w:p>
    <w:p w14:paraId="6E16ED26" w14:textId="77777777" w:rsidR="00934E89" w:rsidRDefault="00934E89" w:rsidP="00934E89">
      <w:pPr>
        <w:jc w:val="both"/>
      </w:pPr>
      <w:r>
        <w:t>4.1 O acompanhamento, fiscalização e avaliação da execução do convênio a cargo da concedente serão executados pelo servidor ocupante do cargo indicado no Termo de Convênio.</w:t>
      </w:r>
    </w:p>
    <w:p w14:paraId="0094AD1D" w14:textId="77777777" w:rsidR="00934E89" w:rsidRDefault="00934E89" w:rsidP="00934E89">
      <w:pPr>
        <w:jc w:val="both"/>
      </w:pPr>
      <w:r>
        <w:t>4.2 O acompanhamento e a fiscalização exercidos pela concedente não excluem e nem reduzem as responsabilidades do convenente de acompanhar, supervisionar e comprovar as ações desenvolvidas para execução do objeto do convênio, tampouco da devida realização da prestação de contas, na forma da lei.</w:t>
      </w:r>
    </w:p>
    <w:p w14:paraId="62C1F0FF" w14:textId="77777777" w:rsidR="00934E89" w:rsidRPr="008609CA" w:rsidRDefault="00934E89" w:rsidP="00934E89">
      <w:pPr>
        <w:pStyle w:val="Standard"/>
        <w:shd w:val="clear" w:color="auto" w:fill="DFDFDF"/>
        <w:tabs>
          <w:tab w:val="center" w:pos="4252"/>
        </w:tabs>
        <w:jc w:val="center"/>
        <w:rPr>
          <w:rFonts w:ascii="Segoe UI" w:hAnsi="Segoe UI" w:cs="Segoe UI"/>
          <w:b/>
          <w:sz w:val="18"/>
          <w:szCs w:val="18"/>
        </w:rPr>
      </w:pPr>
      <w:r w:rsidRPr="008609CA">
        <w:rPr>
          <w:rFonts w:ascii="Segoe UI" w:hAnsi="Segoe UI" w:cs="Segoe UI"/>
          <w:b/>
          <w:sz w:val="18"/>
          <w:szCs w:val="18"/>
        </w:rPr>
        <w:t xml:space="preserve"> EXTINÇÃO DO CONVÊNIO</w:t>
      </w:r>
    </w:p>
    <w:p w14:paraId="45476112" w14:textId="77777777" w:rsidR="00934E89" w:rsidRDefault="00934E89" w:rsidP="00934E89">
      <w:r>
        <w:t>5. A extinção do Convênio se dará mediante o cumprimento do seu objeto ou nas demais hipóteses previstas nos itens seguintes.</w:t>
      </w:r>
    </w:p>
    <w:p w14:paraId="5E63CD33" w14:textId="77777777" w:rsidR="00934E89" w:rsidRDefault="00934E89" w:rsidP="00934E89">
      <w:r>
        <w:t>5.1</w:t>
      </w:r>
      <w:r w:rsidRPr="008609CA">
        <w:t xml:space="preserve"> O Convênio poderá ser resilido mediante notificação escrita, com antecedência de pelo menos 30 (trinta) dias, por conveniência de qualquer dos partícipes, hipótese em que a convenente fica obrigada a restituir integralmente os recursos recebidos e não aplicados no objeto do Convênio, acrescidos do valor correspondente às aplicações financeiras.</w:t>
      </w:r>
    </w:p>
    <w:p w14:paraId="35C3F951" w14:textId="77777777" w:rsidR="00934E89" w:rsidRDefault="00934E89" w:rsidP="00934E89">
      <w:r>
        <w:t>5.2 O descumprimento de qualquer das cláusulas do Convênio é causa para sua resolução, especialmente quando verificadas as seguintes situações:</w:t>
      </w:r>
    </w:p>
    <w:p w14:paraId="3A405F75" w14:textId="77777777" w:rsidR="00934E89" w:rsidRDefault="00934E89" w:rsidP="00934E89">
      <w:r>
        <w:t>a) utilização dos recursos em desacordo com o Plano de Trabalho;</w:t>
      </w:r>
    </w:p>
    <w:p w14:paraId="529AECD6" w14:textId="77777777" w:rsidR="00934E89" w:rsidRDefault="00934E89" w:rsidP="00934E89">
      <w:r>
        <w:t>b) falta de apresentação de prestação de contas, conforme prazos e critérios estabelecidos;</w:t>
      </w:r>
    </w:p>
    <w:p w14:paraId="1C7CA5B6" w14:textId="77777777" w:rsidR="00934E89" w:rsidRDefault="00934E89" w:rsidP="00934E89">
      <w:r>
        <w:t>c) aplicação dos recursos no mercado financeiro em desacordo com as autorizações legais.</w:t>
      </w:r>
    </w:p>
    <w:p w14:paraId="74EDF408" w14:textId="77777777" w:rsidR="00934E89" w:rsidRDefault="00934E89" w:rsidP="00934E89">
      <w:r>
        <w:lastRenderedPageBreak/>
        <w:t>5.3 A nulidade do Convênio ou da Seleção Pública que o antecedeu poderá acarretar a sua rescisão.</w:t>
      </w:r>
    </w:p>
    <w:p w14:paraId="67B7CA98" w14:textId="77777777" w:rsidR="00934E89" w:rsidRDefault="00934E89" w:rsidP="00934E89"/>
    <w:p w14:paraId="10E41472" w14:textId="77777777" w:rsidR="00934E89" w:rsidRDefault="00934E89" w:rsidP="00934E89"/>
    <w:p w14:paraId="18F10A1F" w14:textId="77777777" w:rsidR="00934E89" w:rsidRDefault="00934E89" w:rsidP="00934E89">
      <w:pPr>
        <w:jc w:val="both"/>
      </w:pPr>
    </w:p>
    <w:p w14:paraId="721DFD48" w14:textId="77777777" w:rsidR="00934E89" w:rsidRPr="00D672E8" w:rsidRDefault="00934E89" w:rsidP="00934E89"/>
    <w:p w14:paraId="1C1F5F90" w14:textId="77777777" w:rsidR="00980964" w:rsidRDefault="00980964"/>
    <w:sectPr w:rsidR="00980964" w:rsidSect="00934E89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B1F0" w14:textId="77777777" w:rsidR="00934E89" w:rsidRDefault="00934E89" w:rsidP="00F85E8A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inline distT="0" distB="0" distL="0" distR="0" wp14:anchorId="7290702F" wp14:editId="2A2CA8B2">
              <wp:extent cx="304800" cy="304800"/>
              <wp:effectExtent l="0" t="0" r="0" b="0"/>
              <wp:docPr id="3" name="AutoShape 4" descr="https://todabahia.com.br/wp-content/uploads/2023/01/whatsapp_image_2023-01-03_at_15.16.00-1000x530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F1234D0" id="AutoShape 4" o:spid="_x0000_s1026" alt="https://todabahia.com.br/wp-content/uploads/2023/01/whatsapp_image_2023-01-03_at_15.16.00-1000x530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0E50849E" wp14:editId="41FC4D9B">
          <wp:extent cx="1531620" cy="7334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138" cy="7528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89"/>
    <w:rsid w:val="00391BCC"/>
    <w:rsid w:val="004B42E1"/>
    <w:rsid w:val="00934E89"/>
    <w:rsid w:val="0098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E1A5"/>
  <w15:chartTrackingRefBased/>
  <w15:docId w15:val="{9F67420F-B133-42A8-B57C-3FE052E5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E89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34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4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4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4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4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4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4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4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4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4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4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4E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4E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4E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4E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4E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4E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4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3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4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34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4E8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34E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4E89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34E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4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4E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4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34E89"/>
    <w:rPr>
      <w:color w:val="467886" w:themeColor="hyperlink"/>
      <w:u w:val="single"/>
    </w:rPr>
  </w:style>
  <w:style w:type="paragraph" w:customStyle="1" w:styleId="Standard">
    <w:name w:val="Standard"/>
    <w:rsid w:val="00934E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34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E8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sufotur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1</cp:revision>
  <dcterms:created xsi:type="dcterms:W3CDTF">2024-02-29T12:20:00Z</dcterms:created>
  <dcterms:modified xsi:type="dcterms:W3CDTF">2024-02-29T12:22:00Z</dcterms:modified>
</cp:coreProperties>
</file>