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22" w:lineRule="auto"/>
        <w:rPr>
          <w:b w:val="1"/>
          <w:bCs w:val="1"/>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line="222" w:lineRule="auto"/>
        <w:jc w:val="center"/>
        <w:rPr>
          <w:b w:val="1"/>
          <w:bCs w:val="1"/>
          <w:sz w:val="24"/>
          <w:szCs w:val="24"/>
        </w:rPr>
      </w:pPr>
      <w:r w:rsidDel="00000000" w:rsidR="00000000" w:rsidRPr="00000000">
        <w:rPr>
          <w:b w:val="1"/>
          <w:bCs w:val="1"/>
          <w:sz w:val="24"/>
          <w:szCs w:val="24"/>
          <w:rtl w:val="0"/>
        </w:rPr>
        <w:t xml:space="preserve">ANEXO I - TABELA DE DISTRIBUIÇÃO DE VAGAS POR ROTAS DO ARTESANATO DA BAHIA</w:t>
      </w:r>
    </w:p>
    <w:p w:rsidR="00000000" w:rsidDel="00000000" w:rsidP="00000000" w:rsidRDefault="00000000" w:rsidRPr="00000000" w14:paraId="00000003">
      <w:pPr>
        <w:spacing w:line="222" w:lineRule="auto"/>
        <w:ind w:left="261" w:firstLine="459"/>
        <w:jc w:val="center"/>
        <w:rPr>
          <w:b w:val="1"/>
          <w:bCs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1087154</wp:posOffset>
            </wp:positionH>
            <wp:positionV relativeFrom="paragraph">
              <wp:posOffset>92505</wp:posOffset>
            </wp:positionV>
            <wp:extent cx="3779520" cy="4380865"/>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7"/>
                    <a:srcRect b="10236" l="4772" r="4434" t="15359"/>
                    <a:stretch>
                      <a:fillRect/>
                    </a:stretch>
                  </pic:blipFill>
                  <pic:spPr>
                    <a:xfrm>
                      <a:off x="0" y="0"/>
                      <a:ext cx="3779520" cy="4380865"/>
                    </a:xfrm>
                    <a:prstGeom prst="rect"/>
                    <a:ln/>
                  </pic:spPr>
                </pic:pic>
              </a:graphicData>
            </a:graphic>
          </wp:anchor>
        </w:drawing>
      </w:r>
    </w:p>
    <w:p w:rsidR="00000000" w:rsidDel="00000000" w:rsidP="00000000" w:rsidRDefault="00000000" w:rsidRPr="00000000" w14:paraId="00000004">
      <w:pPr>
        <w:spacing w:line="222" w:lineRule="auto"/>
        <w:ind w:left="261" w:firstLine="459"/>
        <w:jc w:val="center"/>
        <w:rPr>
          <w:b w:val="1"/>
          <w:bCs w:val="1"/>
          <w:sz w:val="24"/>
          <w:szCs w:val="24"/>
        </w:rPr>
      </w:pPr>
      <w:r w:rsidDel="00000000" w:rsidR="00000000" w:rsidRPr="00000000">
        <w:rPr>
          <w:rtl w:val="0"/>
        </w:rPr>
      </w:r>
    </w:p>
    <w:p w:rsidR="00000000" w:rsidDel="00000000" w:rsidP="00000000" w:rsidRDefault="00000000" w:rsidRPr="00000000" w14:paraId="00000005">
      <w:pPr>
        <w:spacing w:line="222" w:lineRule="auto"/>
        <w:ind w:left="261" w:firstLine="459"/>
        <w:jc w:val="center"/>
        <w:rPr>
          <w:b w:val="1"/>
          <w:bCs w:val="1"/>
          <w:sz w:val="24"/>
          <w:szCs w:val="24"/>
        </w:rPr>
      </w:pPr>
      <w:r w:rsidDel="00000000" w:rsidR="00000000" w:rsidRPr="00000000">
        <w:rPr>
          <w:rtl w:val="0"/>
        </w:rPr>
      </w:r>
    </w:p>
    <w:p w:rsidR="00000000" w:rsidDel="00000000" w:rsidP="00000000" w:rsidRDefault="00000000" w:rsidRPr="00000000" w14:paraId="00000006">
      <w:pPr>
        <w:spacing w:line="222" w:lineRule="auto"/>
        <w:ind w:left="261" w:firstLine="459"/>
        <w:jc w:val="center"/>
        <w:rPr>
          <w:b w:val="1"/>
          <w:bCs w:val="1"/>
          <w:sz w:val="24"/>
          <w:szCs w:val="24"/>
        </w:rPr>
      </w:pPr>
      <w:r w:rsidDel="00000000" w:rsidR="00000000" w:rsidRPr="00000000">
        <w:rPr>
          <w:rtl w:val="0"/>
        </w:rPr>
      </w:r>
    </w:p>
    <w:p w:rsidR="00000000" w:rsidDel="00000000" w:rsidP="00000000" w:rsidRDefault="00000000" w:rsidRPr="00000000" w14:paraId="00000007">
      <w:pPr>
        <w:spacing w:line="222" w:lineRule="auto"/>
        <w:ind w:left="261" w:firstLine="459"/>
        <w:jc w:val="center"/>
        <w:rPr>
          <w:b w:val="1"/>
          <w:bCs w:val="1"/>
          <w:sz w:val="24"/>
          <w:szCs w:val="24"/>
        </w:rPr>
      </w:pPr>
      <w:r w:rsidDel="00000000" w:rsidR="00000000" w:rsidRPr="00000000">
        <w:rPr>
          <w:rtl w:val="0"/>
        </w:rPr>
      </w:r>
    </w:p>
    <w:p w:rsidR="00000000" w:rsidDel="00000000" w:rsidP="00000000" w:rsidRDefault="00000000" w:rsidRPr="00000000" w14:paraId="00000008">
      <w:pPr>
        <w:spacing w:line="222" w:lineRule="auto"/>
        <w:ind w:left="261" w:firstLine="459"/>
        <w:jc w:val="center"/>
        <w:rPr>
          <w:b w:val="1"/>
          <w:bCs w:val="1"/>
          <w:sz w:val="24"/>
          <w:szCs w:val="24"/>
        </w:rPr>
      </w:pPr>
      <w:r w:rsidDel="00000000" w:rsidR="00000000" w:rsidRPr="00000000">
        <w:rPr>
          <w:rtl w:val="0"/>
        </w:rPr>
      </w:r>
    </w:p>
    <w:p w:rsidR="00000000" w:rsidDel="00000000" w:rsidP="00000000" w:rsidRDefault="00000000" w:rsidRPr="00000000" w14:paraId="00000009">
      <w:pPr>
        <w:spacing w:line="222" w:lineRule="auto"/>
        <w:ind w:left="261" w:firstLine="459"/>
        <w:jc w:val="center"/>
        <w:rPr>
          <w:b w:val="1"/>
          <w:bCs w:val="1"/>
          <w:sz w:val="24"/>
          <w:szCs w:val="24"/>
        </w:rPr>
      </w:pPr>
      <w:r w:rsidDel="00000000" w:rsidR="00000000" w:rsidRPr="00000000">
        <w:rPr>
          <w:rtl w:val="0"/>
        </w:rPr>
      </w:r>
    </w:p>
    <w:p w:rsidR="00000000" w:rsidDel="00000000" w:rsidP="00000000" w:rsidRDefault="00000000" w:rsidRPr="00000000" w14:paraId="0000000A">
      <w:pPr>
        <w:spacing w:line="222" w:lineRule="auto"/>
        <w:ind w:left="261" w:firstLine="459"/>
        <w:jc w:val="center"/>
        <w:rPr>
          <w:b w:val="1"/>
          <w:bCs w:val="1"/>
          <w:sz w:val="24"/>
          <w:szCs w:val="24"/>
        </w:rPr>
      </w:pPr>
      <w:r w:rsidDel="00000000" w:rsidR="00000000" w:rsidRPr="00000000">
        <w:rPr>
          <w:rtl w:val="0"/>
        </w:rPr>
      </w:r>
    </w:p>
    <w:p w:rsidR="00000000" w:rsidDel="00000000" w:rsidP="00000000" w:rsidRDefault="00000000" w:rsidRPr="00000000" w14:paraId="0000000B">
      <w:pPr>
        <w:spacing w:line="222" w:lineRule="auto"/>
        <w:ind w:left="261" w:firstLine="459"/>
        <w:jc w:val="center"/>
        <w:rPr>
          <w:b w:val="1"/>
          <w:bCs w:val="1"/>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tbl>
      <w:tblPr>
        <w:tblStyle w:val="Table1"/>
        <w:tblW w:w="9368.0" w:type="dxa"/>
        <w:jc w:val="left"/>
        <w:tblInd w:w="16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7"/>
        <w:gridCol w:w="4253"/>
        <w:gridCol w:w="1701"/>
        <w:gridCol w:w="1417"/>
        <w:tblGridChange w:id="0">
          <w:tblGrid>
            <w:gridCol w:w="1997"/>
            <w:gridCol w:w="4253"/>
            <w:gridCol w:w="1701"/>
            <w:gridCol w:w="1417"/>
          </w:tblGrid>
        </w:tblGridChange>
      </w:tblGrid>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Rota ou Tipo de Vaga</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Municípios</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*Quantitativo de Artesãos</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Número de Vagas</w:t>
            </w:r>
          </w:p>
        </w:tc>
      </w:tr>
      <w:tr>
        <w:trPr>
          <w:cantSplit w:val="1"/>
          <w:trHeight w:val="440"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Rota Baía dos Santos e Orixás </w:t>
            </w:r>
          </w:p>
        </w:tc>
        <w:tc>
          <w:tcPr>
            <w:shd w:fill="auto" w:val="clear"/>
            <w:tcMar>
              <w:top w:w="100.0" w:type="dxa"/>
              <w:left w:w="100.0" w:type="dxa"/>
              <w:bottom w:w="100.0" w:type="dxa"/>
              <w:right w:w="100.0" w:type="dxa"/>
            </w:tcMar>
          </w:tcPr>
          <w:p w:rsidR="00000000" w:rsidDel="00000000" w:rsidP="00000000" w:rsidRDefault="00000000" w:rsidRPr="00000000" w14:paraId="00000022">
            <w:pPr>
              <w:spacing w:line="240" w:lineRule="auto"/>
              <w:rPr>
                <w:sz w:val="24"/>
                <w:szCs w:val="24"/>
              </w:rPr>
            </w:pPr>
            <w:r w:rsidDel="00000000" w:rsidR="00000000" w:rsidRPr="00000000">
              <w:rPr>
                <w:sz w:val="24"/>
                <w:szCs w:val="24"/>
                <w:rtl w:val="0"/>
              </w:rPr>
              <w:t xml:space="preserve">Camaçari, Candeias, Dias D'Ávila, Itaparica, Lauro de Freitas, Madre de Deus, Mata de São João, Pojuca, Salvador, São Francisco do Conde, São Sebastião do Passé, Simões Filho e Vera Cruz.</w:t>
            </w:r>
          </w:p>
        </w:tc>
        <w:tc>
          <w:tcPr>
            <w:tcMar>
              <w:top w:w="100.0" w:type="dxa"/>
              <w:left w:w="100.0" w:type="dxa"/>
              <w:bottom w:w="100.0" w:type="dxa"/>
              <w:right w:w="100.0" w:type="dxa"/>
            </w:tcMar>
          </w:tcPr>
          <w:p w:rsidR="00000000" w:rsidDel="00000000" w:rsidP="00000000" w:rsidRDefault="00000000" w:rsidRPr="00000000" w14:paraId="00000023">
            <w:pPr>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024">
            <w:pPr>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025">
            <w:pPr>
              <w:widowControl w:val="0"/>
              <w:spacing w:line="240" w:lineRule="auto"/>
              <w:jc w:val="center"/>
              <w:rPr>
                <w:sz w:val="24"/>
                <w:szCs w:val="24"/>
              </w:rPr>
            </w:pPr>
            <w:r w:rsidDel="00000000" w:rsidR="00000000" w:rsidRPr="00000000">
              <w:rPr>
                <w:sz w:val="24"/>
                <w:szCs w:val="24"/>
                <w:rtl w:val="0"/>
              </w:rPr>
              <w:t xml:space="preserve">6.348</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60</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sz w:val="24"/>
                <w:szCs w:val="24"/>
              </w:rPr>
            </w:pPr>
            <w:r w:rsidDel="00000000" w:rsidR="00000000" w:rsidRPr="00000000">
              <w:rPr>
                <w:sz w:val="24"/>
                <w:szCs w:val="24"/>
                <w:rtl w:val="0"/>
              </w:rPr>
              <w:t xml:space="preserve">Rota Dona Cadu</w:t>
            </w:r>
          </w:p>
        </w:tc>
        <w:tc>
          <w:tcPr>
            <w:shd w:fill="auto" w:val="clear"/>
            <w:tcMar>
              <w:top w:w="100.0" w:type="dxa"/>
              <w:left w:w="100.0" w:type="dxa"/>
              <w:bottom w:w="100.0" w:type="dxa"/>
              <w:right w:w="100.0" w:type="dxa"/>
            </w:tcMar>
          </w:tcPr>
          <w:p w:rsidR="00000000" w:rsidDel="00000000" w:rsidP="00000000" w:rsidRDefault="00000000" w:rsidRPr="00000000" w14:paraId="0000002A">
            <w:pPr>
              <w:spacing w:line="240" w:lineRule="auto"/>
              <w:rPr>
                <w:sz w:val="24"/>
                <w:szCs w:val="24"/>
              </w:rPr>
            </w:pPr>
            <w:r w:rsidDel="00000000" w:rsidR="00000000" w:rsidRPr="00000000">
              <w:rPr>
                <w:sz w:val="24"/>
                <w:szCs w:val="24"/>
                <w:rtl w:val="0"/>
              </w:rPr>
              <w:t xml:space="preserve">Cabaceiras do Paraguaçu, Cachoeira, Castro Alves, Conceição do Almeida, Cruz das Almas, Dom Macedo Costa, Maragogipe, Muniz Ferreira, Muritiba, Nazaré, Salinas da Margarida, Santo Amaro, Santo Antônio de Jesus, Sapeaçu, São Felipe, São Félix, Saubara e Varzedo.</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02C">
            <w:pPr>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02D">
            <w:pPr>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02E">
            <w:pPr>
              <w:widowControl w:val="0"/>
              <w:spacing w:line="240" w:lineRule="auto"/>
              <w:jc w:val="center"/>
              <w:rPr>
                <w:sz w:val="24"/>
                <w:szCs w:val="24"/>
              </w:rPr>
            </w:pPr>
            <w:r w:rsidDel="00000000" w:rsidR="00000000" w:rsidRPr="00000000">
              <w:rPr>
                <w:sz w:val="24"/>
                <w:szCs w:val="24"/>
                <w:rtl w:val="0"/>
              </w:rPr>
              <w:t xml:space="preserve">1.049</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030">
            <w:pPr>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031">
            <w:pPr>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032">
            <w:pPr>
              <w:widowControl w:val="0"/>
              <w:spacing w:line="240" w:lineRule="auto"/>
              <w:jc w:val="center"/>
              <w:rPr>
                <w:sz w:val="24"/>
                <w:szCs w:val="24"/>
              </w:rPr>
            </w:pPr>
            <w:r w:rsidDel="00000000" w:rsidR="00000000" w:rsidRPr="00000000">
              <w:rPr>
                <w:sz w:val="24"/>
                <w:szCs w:val="24"/>
                <w:rtl w:val="0"/>
              </w:rPr>
              <w:t xml:space="preserve">10</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Rota Boi Bilha</w:t>
            </w:r>
          </w:p>
        </w:tc>
        <w:tc>
          <w:tcPr>
            <w:shd w:fill="auto" w:val="clear"/>
            <w:tcMar>
              <w:top w:w="100.0" w:type="dxa"/>
              <w:left w:w="100.0" w:type="dxa"/>
              <w:bottom w:w="100.0" w:type="dxa"/>
              <w:right w:w="100.0" w:type="dxa"/>
            </w:tcMar>
          </w:tcPr>
          <w:p w:rsidR="00000000" w:rsidDel="00000000" w:rsidP="00000000" w:rsidRDefault="00000000" w:rsidRPr="00000000" w14:paraId="00000034">
            <w:pPr>
              <w:spacing w:line="240" w:lineRule="auto"/>
              <w:rPr>
                <w:sz w:val="24"/>
                <w:szCs w:val="24"/>
              </w:rPr>
            </w:pPr>
            <w:r w:rsidDel="00000000" w:rsidR="00000000" w:rsidRPr="00000000">
              <w:rPr>
                <w:sz w:val="24"/>
                <w:szCs w:val="24"/>
                <w:rtl w:val="0"/>
              </w:rPr>
              <w:t xml:space="preserve">Aratuípe, Cairu, Camamu, Gandu, Igrapiúna, Ituberá, Jaguaripe, Nilo Peçanha, Presidente Tancredo Neves, Taperoá, Valença e Wenceslau Guimarães.</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1.042</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10</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Rota Caroá</w:t>
            </w:r>
          </w:p>
        </w:tc>
        <w:tc>
          <w:tcPr>
            <w:shd w:fill="auto" w:val="clear"/>
            <w:tcMar>
              <w:top w:w="100.0" w:type="dxa"/>
              <w:left w:w="100.0" w:type="dxa"/>
              <w:bottom w:w="100.0" w:type="dxa"/>
              <w:right w:w="100.0" w:type="dxa"/>
            </w:tcMar>
          </w:tcPr>
          <w:p w:rsidR="00000000" w:rsidDel="00000000" w:rsidP="00000000" w:rsidRDefault="00000000" w:rsidRPr="00000000" w14:paraId="00000038">
            <w:pPr>
              <w:spacing w:line="240" w:lineRule="auto"/>
              <w:rPr>
                <w:sz w:val="24"/>
                <w:szCs w:val="24"/>
              </w:rPr>
            </w:pPr>
            <w:r w:rsidDel="00000000" w:rsidR="00000000" w:rsidRPr="00000000">
              <w:rPr>
                <w:sz w:val="24"/>
                <w:szCs w:val="24"/>
                <w:rtl w:val="0"/>
              </w:rPr>
              <w:t xml:space="preserve">Boa Vista do Tupim, Iaçú, Itaberaba, Itatim, Mundo Novo, Ruy Barbosa, Santa Terezinha e Tapiramutá.</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267</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5</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Rota Jacunã</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Andorinha, Campo Formoso, Jaguarari, Pindobaçu, Ponto Novo e Senhor do Bonfim.</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417</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6</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Rota Jiquiriçá</w:t>
            </w:r>
          </w:p>
        </w:tc>
        <w:tc>
          <w:tcPr>
            <w:shd w:fill="auto" w:val="clear"/>
            <w:tcMar>
              <w:top w:w="100.0" w:type="dxa"/>
              <w:left w:w="100.0" w:type="dxa"/>
              <w:bottom w:w="100.0" w:type="dxa"/>
              <w:right w:w="100.0" w:type="dxa"/>
            </w:tcMar>
          </w:tcPr>
          <w:p w:rsidR="00000000" w:rsidDel="00000000" w:rsidP="00000000" w:rsidRDefault="00000000" w:rsidRPr="00000000" w14:paraId="00000040">
            <w:pPr>
              <w:spacing w:line="240" w:lineRule="auto"/>
              <w:rPr>
                <w:sz w:val="24"/>
                <w:szCs w:val="24"/>
              </w:rPr>
            </w:pPr>
            <w:r w:rsidDel="00000000" w:rsidR="00000000" w:rsidRPr="00000000">
              <w:rPr>
                <w:sz w:val="24"/>
                <w:szCs w:val="24"/>
                <w:rtl w:val="0"/>
              </w:rPr>
              <w:t xml:space="preserve">Amargosa, Brejões, Cravolândia,  Itiruçu, Jaguaquara, Jiquiriçá, Laje, Maracás, Milagres, Mutuípe,  Santa Inês, e Ubaíra.</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257</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4</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Rota Kiriri</w:t>
            </w:r>
          </w:p>
        </w:tc>
        <w:tc>
          <w:tcPr>
            <w:shd w:fill="auto" w:val="clear"/>
            <w:tcMar>
              <w:top w:w="100.0" w:type="dxa"/>
              <w:left w:w="100.0" w:type="dxa"/>
              <w:bottom w:w="100.0" w:type="dxa"/>
              <w:right w:w="100.0" w:type="dxa"/>
            </w:tcMar>
          </w:tcPr>
          <w:p w:rsidR="00000000" w:rsidDel="00000000" w:rsidP="00000000" w:rsidRDefault="00000000" w:rsidRPr="00000000" w14:paraId="00000044">
            <w:pPr>
              <w:spacing w:line="240" w:lineRule="auto"/>
              <w:rPr>
                <w:sz w:val="24"/>
                <w:szCs w:val="24"/>
              </w:rPr>
            </w:pPr>
            <w:r w:rsidDel="00000000" w:rsidR="00000000" w:rsidRPr="00000000">
              <w:rPr>
                <w:sz w:val="24"/>
                <w:szCs w:val="24"/>
                <w:rtl w:val="0"/>
              </w:rPr>
              <w:t xml:space="preserve">Banzaê, Cipó, Euclides da Cunha, Heliópolis, Jeremoabo, Nova Soure, Ribeira do Amparo, Ribeira do Pombal e Santa Brígida.</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946</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6</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Rota Pataxó</w:t>
            </w:r>
          </w:p>
        </w:tc>
        <w:tc>
          <w:tcPr>
            <w:shd w:fill="auto" w:val="clear"/>
            <w:tcMar>
              <w:top w:w="100.0" w:type="dxa"/>
              <w:left w:w="100.0" w:type="dxa"/>
              <w:bottom w:w="100.0" w:type="dxa"/>
              <w:right w:w="100.0" w:type="dxa"/>
            </w:tcMar>
          </w:tcPr>
          <w:p w:rsidR="00000000" w:rsidDel="00000000" w:rsidP="00000000" w:rsidRDefault="00000000" w:rsidRPr="00000000" w14:paraId="00000048">
            <w:pPr>
              <w:spacing w:line="240" w:lineRule="auto"/>
              <w:rPr>
                <w:sz w:val="24"/>
                <w:szCs w:val="24"/>
              </w:rPr>
            </w:pPr>
            <w:r w:rsidDel="00000000" w:rsidR="00000000" w:rsidRPr="00000000">
              <w:rPr>
                <w:sz w:val="24"/>
                <w:szCs w:val="24"/>
                <w:rtl w:val="0"/>
              </w:rPr>
              <w:t xml:space="preserve">Alcobaça, Belmonte, Caravelas, Itamaraju, Itanhém, Mucuri, Nova Viçosa, Teixeira de Freitas, Guaratinga, Itabela, Porto Seguro, Prado, Santa Cruz Cabrália e Eunápolis.</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2.058</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8</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Rota Pau Brasil</w:t>
            </w:r>
          </w:p>
        </w:tc>
        <w:tc>
          <w:tcPr>
            <w:shd w:fill="auto" w:val="clear"/>
            <w:tcMar>
              <w:top w:w="100.0" w:type="dxa"/>
              <w:left w:w="100.0" w:type="dxa"/>
              <w:bottom w:w="100.0" w:type="dxa"/>
              <w:right w:w="100.0" w:type="dxa"/>
            </w:tcMar>
          </w:tcPr>
          <w:p w:rsidR="00000000" w:rsidDel="00000000" w:rsidP="00000000" w:rsidRDefault="00000000" w:rsidRPr="00000000" w14:paraId="0000004C">
            <w:pPr>
              <w:spacing w:line="240" w:lineRule="auto"/>
              <w:rPr>
                <w:sz w:val="24"/>
                <w:szCs w:val="24"/>
              </w:rPr>
            </w:pPr>
            <w:r w:rsidDel="00000000" w:rsidR="00000000" w:rsidRPr="00000000">
              <w:rPr>
                <w:sz w:val="24"/>
                <w:szCs w:val="24"/>
                <w:rtl w:val="0"/>
              </w:rPr>
              <w:t xml:space="preserve">Barro Preto, Buerarema, Camacan, Canavieiras, Coaraci, Floresta Azul, Ibicaraí, Ilhéus, Itabuna, Itacaré, Itaju do Colônia, Itajuípe, Jussari, Maraú, Pau-Brasil, Santa Luzia,  Una, Uruçuca, Ubaitaba.</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1.131</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8</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Rota da Cerâmica</w:t>
            </w:r>
          </w:p>
        </w:tc>
        <w:tc>
          <w:tcPr>
            <w:shd w:fill="auto" w:val="clear"/>
            <w:tcMar>
              <w:top w:w="100.0" w:type="dxa"/>
              <w:left w:w="100.0" w:type="dxa"/>
              <w:bottom w:w="100.0" w:type="dxa"/>
              <w:right w:w="100.0" w:type="dxa"/>
            </w:tcMar>
          </w:tcPr>
          <w:p w:rsidR="00000000" w:rsidDel="00000000" w:rsidP="00000000" w:rsidRDefault="00000000" w:rsidRPr="00000000" w14:paraId="00000050">
            <w:pPr>
              <w:spacing w:line="240" w:lineRule="auto"/>
              <w:rPr>
                <w:sz w:val="24"/>
                <w:szCs w:val="24"/>
              </w:rPr>
            </w:pPr>
            <w:r w:rsidDel="00000000" w:rsidR="00000000" w:rsidRPr="00000000">
              <w:rPr>
                <w:sz w:val="24"/>
                <w:szCs w:val="24"/>
                <w:rtl w:val="0"/>
              </w:rPr>
              <w:t xml:space="preserve">Barra, Bom Jesus da Lapa, Brotas de Macaúbas, Carinhanha, Ibotirama, Muquém do São Francisco, Riacho de Santana, Serra do Ramalho.</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310</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5</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Rota da Palha</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Capela do Alto Alegre, Capim Grosso, Gavião, Ipirá, Nova Fátima, Riachão do Jacuípe, São José do Jacuípe, Várzea da Roça, Várzea do Poço.</w:t>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405</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5</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Rota da Piaçava</w:t>
            </w:r>
          </w:p>
        </w:tc>
        <w:tc>
          <w:tcPr>
            <w:shd w:fill="auto" w:val="clear"/>
            <w:tcMar>
              <w:top w:w="100.0" w:type="dxa"/>
              <w:left w:w="100.0" w:type="dxa"/>
              <w:bottom w:w="100.0" w:type="dxa"/>
              <w:right w:w="100.0" w:type="dxa"/>
            </w:tcMar>
          </w:tcPr>
          <w:p w:rsidR="00000000" w:rsidDel="00000000" w:rsidP="00000000" w:rsidRDefault="00000000" w:rsidRPr="00000000" w14:paraId="00000058">
            <w:pPr>
              <w:spacing w:line="240" w:lineRule="auto"/>
              <w:rPr>
                <w:sz w:val="24"/>
                <w:szCs w:val="24"/>
              </w:rPr>
            </w:pPr>
            <w:r w:rsidDel="00000000" w:rsidR="00000000" w:rsidRPr="00000000">
              <w:rPr>
                <w:sz w:val="24"/>
                <w:szCs w:val="24"/>
                <w:rtl w:val="0"/>
              </w:rPr>
              <w:t xml:space="preserve">Alagoinhas, Aporá, Aramari, Araçás, Catu, Conde, Entre Rios, Esplanada, Inhambupe, Itanagra, Itapicuru, Jandaíra, Olindina, Rio Real e Ouriçangas.</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751</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6</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Rota das Carrancas</w:t>
            </w:r>
          </w:p>
        </w:tc>
        <w:tc>
          <w:tcPr>
            <w:shd w:fill="auto" w:val="clear"/>
            <w:tcMar>
              <w:top w:w="100.0" w:type="dxa"/>
              <w:left w:w="100.0" w:type="dxa"/>
              <w:bottom w:w="100.0" w:type="dxa"/>
              <w:right w:w="100.0" w:type="dxa"/>
            </w:tcMar>
          </w:tcPr>
          <w:p w:rsidR="00000000" w:rsidDel="00000000" w:rsidP="00000000" w:rsidRDefault="00000000" w:rsidRPr="00000000" w14:paraId="0000005C">
            <w:pPr>
              <w:spacing w:line="240" w:lineRule="auto"/>
              <w:rPr>
                <w:sz w:val="24"/>
                <w:szCs w:val="24"/>
              </w:rPr>
            </w:pPr>
            <w:r w:rsidDel="00000000" w:rsidR="00000000" w:rsidRPr="00000000">
              <w:rPr>
                <w:sz w:val="24"/>
                <w:szCs w:val="24"/>
                <w:rtl w:val="0"/>
              </w:rPr>
              <w:t xml:space="preserve">Campo Alegre de Lourdes, Canudos, Casa Nova, Curaçá, Juazeiro, Pilão Arcado, Remanso, Sento Sé, Sobradinho e Uauá.</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263</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3</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Rota das Redes</w:t>
            </w:r>
          </w:p>
        </w:tc>
        <w:tc>
          <w:tcPr>
            <w:shd w:fill="auto" w:val="clear"/>
            <w:tcMar>
              <w:top w:w="100.0" w:type="dxa"/>
              <w:left w:w="100.0" w:type="dxa"/>
              <w:bottom w:w="100.0" w:type="dxa"/>
              <w:right w:w="100.0" w:type="dxa"/>
            </w:tcMar>
          </w:tcPr>
          <w:p w:rsidR="00000000" w:rsidDel="00000000" w:rsidP="00000000" w:rsidRDefault="00000000" w:rsidRPr="00000000" w14:paraId="00000060">
            <w:pPr>
              <w:spacing w:line="240" w:lineRule="auto"/>
              <w:rPr>
                <w:sz w:val="24"/>
                <w:szCs w:val="24"/>
              </w:rPr>
            </w:pPr>
            <w:r w:rsidDel="00000000" w:rsidR="00000000" w:rsidRPr="00000000">
              <w:rPr>
                <w:sz w:val="24"/>
                <w:szCs w:val="24"/>
                <w:rtl w:val="0"/>
              </w:rPr>
              <w:t xml:space="preserve">Abaré, Glória, Macururé, Paulo Afonso, Rodelas.</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543</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6</w:t>
            </w:r>
          </w:p>
          <w:p w:rsidR="00000000" w:rsidDel="00000000" w:rsidP="00000000" w:rsidRDefault="00000000" w:rsidRPr="00000000" w14:paraId="00000063">
            <w:pPr>
              <w:jc w:val="center"/>
              <w:rPr>
                <w:sz w:val="24"/>
                <w:szCs w:val="24"/>
              </w:rPr>
            </w:pPr>
            <w:r w:rsidDel="00000000" w:rsidR="00000000" w:rsidRPr="00000000">
              <w:rPr>
                <w:rtl w:val="0"/>
              </w:rPr>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Rota Sempre Vivas</w:t>
            </w:r>
          </w:p>
        </w:tc>
        <w:tc>
          <w:tcPr>
            <w:shd w:fill="auto" w:val="clear"/>
            <w:tcMar>
              <w:top w:w="100.0" w:type="dxa"/>
              <w:left w:w="100.0" w:type="dxa"/>
              <w:bottom w:w="100.0" w:type="dxa"/>
              <w:right w:w="100.0" w:type="dxa"/>
            </w:tcMar>
          </w:tcPr>
          <w:p w:rsidR="00000000" w:rsidDel="00000000" w:rsidP="00000000" w:rsidRDefault="00000000" w:rsidRPr="00000000" w14:paraId="00000065">
            <w:pPr>
              <w:spacing w:line="240" w:lineRule="auto"/>
              <w:rPr>
                <w:sz w:val="24"/>
                <w:szCs w:val="24"/>
              </w:rPr>
            </w:pPr>
            <w:r w:rsidDel="00000000" w:rsidR="00000000" w:rsidRPr="00000000">
              <w:rPr>
                <w:sz w:val="24"/>
                <w:szCs w:val="24"/>
                <w:rtl w:val="0"/>
              </w:rPr>
              <w:t xml:space="preserve">Abaíra, Andaraí, Barra da Estiva, Boninal, Bonito, Ibicoara, Iramaia, Iraquara, Itaetê, Lençóis, Morro do Chapéu, Mucugê, Nova Redenção, Palmeiras, Piatã, Rio de Contas, Seabra, Utinga e Wagner.</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801</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6</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Rota do Cerrado</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Barreiras, Brejolândia, Canápolis, Cocos, Coribe, Correntina, Formosa do Rio Preto, Jaborandi, Luís Eduardo Magalhães, Santa Maria da Vitória, Santana, Serra Dourada, São Desidério.</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417</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5</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Rota do Couro</w:t>
            </w:r>
          </w:p>
        </w:tc>
        <w:tc>
          <w:tcPr>
            <w:shd w:fill="auto" w:val="clear"/>
            <w:tcMar>
              <w:top w:w="100.0" w:type="dxa"/>
              <w:left w:w="100.0" w:type="dxa"/>
              <w:bottom w:w="100.0" w:type="dxa"/>
              <w:right w:w="100.0" w:type="dxa"/>
            </w:tcMar>
          </w:tcPr>
          <w:p w:rsidR="00000000" w:rsidDel="00000000" w:rsidP="00000000" w:rsidRDefault="00000000" w:rsidRPr="00000000" w14:paraId="0000006D">
            <w:pPr>
              <w:spacing w:line="240" w:lineRule="auto"/>
              <w:rPr>
                <w:sz w:val="24"/>
                <w:szCs w:val="24"/>
              </w:rPr>
            </w:pPr>
            <w:r w:rsidDel="00000000" w:rsidR="00000000" w:rsidRPr="00000000">
              <w:rPr>
                <w:sz w:val="24"/>
                <w:szCs w:val="24"/>
                <w:rtl w:val="0"/>
              </w:rPr>
              <w:t xml:space="preserve">Amélia Rodrigues, Conceição da Feira, Conceição do Jacuípe, Feira de Santana, Irará, Santa Bárbara, Santo Estevão, São Gonçalo dos Campos, Coração de Maria, Teodoro Sampaio, Terra Nova.</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468</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6</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Rota do Ouro</w:t>
            </w:r>
          </w:p>
        </w:tc>
        <w:tc>
          <w:tcPr>
            <w:shd w:fill="auto" w:val="clear"/>
            <w:tcMar>
              <w:top w:w="100.0" w:type="dxa"/>
              <w:left w:w="100.0" w:type="dxa"/>
              <w:bottom w:w="100.0" w:type="dxa"/>
              <w:right w:w="100.0" w:type="dxa"/>
            </w:tcMar>
          </w:tcPr>
          <w:p w:rsidR="00000000" w:rsidDel="00000000" w:rsidP="00000000" w:rsidRDefault="00000000" w:rsidRPr="00000000" w14:paraId="00000071">
            <w:pPr>
              <w:spacing w:line="240" w:lineRule="auto"/>
              <w:rPr>
                <w:sz w:val="24"/>
                <w:szCs w:val="24"/>
              </w:rPr>
            </w:pPr>
            <w:r w:rsidDel="00000000" w:rsidR="00000000" w:rsidRPr="00000000">
              <w:rPr>
                <w:sz w:val="24"/>
                <w:szCs w:val="24"/>
                <w:rtl w:val="0"/>
              </w:rPr>
              <w:t xml:space="preserve">Caém, Jacobina, Miguel Calmon, Ourolândia, Saúde, Serrolândia e Várzea Nova.</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237</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5</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Rota do Sisal</w:t>
            </w:r>
          </w:p>
        </w:tc>
        <w:tc>
          <w:tcPr>
            <w:shd w:fill="auto" w:val="clear"/>
            <w:tcMar>
              <w:top w:w="100.0" w:type="dxa"/>
              <w:left w:w="100.0" w:type="dxa"/>
              <w:bottom w:w="100.0" w:type="dxa"/>
              <w:right w:w="100.0" w:type="dxa"/>
            </w:tcMar>
          </w:tcPr>
          <w:p w:rsidR="00000000" w:rsidDel="00000000" w:rsidP="00000000" w:rsidRDefault="00000000" w:rsidRPr="00000000" w14:paraId="00000075">
            <w:pPr>
              <w:spacing w:line="240" w:lineRule="auto"/>
              <w:rPr>
                <w:sz w:val="24"/>
                <w:szCs w:val="24"/>
              </w:rPr>
            </w:pPr>
            <w:r w:rsidDel="00000000" w:rsidR="00000000" w:rsidRPr="00000000">
              <w:rPr>
                <w:sz w:val="24"/>
                <w:szCs w:val="24"/>
                <w:rtl w:val="0"/>
              </w:rPr>
              <w:t xml:space="preserve">Araci, Candeal, Conceição do Coité, Itiúba, Lamarão, Monte Santo, Retirolândia, Santa Luz, São Domingos, Serrinha, Tucano e Valente.</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604</w:t>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6</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Rota dos Trançados</w:t>
            </w:r>
          </w:p>
        </w:tc>
        <w:tc>
          <w:tcPr>
            <w:shd w:fill="auto" w:val="clear"/>
            <w:tcMar>
              <w:top w:w="100.0" w:type="dxa"/>
              <w:left w:w="100.0" w:type="dxa"/>
              <w:bottom w:w="100.0" w:type="dxa"/>
              <w:right w:w="100.0" w:type="dxa"/>
            </w:tcMar>
          </w:tcPr>
          <w:p w:rsidR="00000000" w:rsidDel="00000000" w:rsidP="00000000" w:rsidRDefault="00000000" w:rsidRPr="00000000" w14:paraId="00000079">
            <w:pPr>
              <w:spacing w:line="240" w:lineRule="auto"/>
              <w:rPr>
                <w:sz w:val="24"/>
                <w:szCs w:val="24"/>
              </w:rPr>
            </w:pPr>
            <w:r w:rsidDel="00000000" w:rsidR="00000000" w:rsidRPr="00000000">
              <w:rPr>
                <w:sz w:val="24"/>
                <w:szCs w:val="24"/>
                <w:rtl w:val="0"/>
              </w:rPr>
              <w:t xml:space="preserve">Aiquara, Boa Nova, Brumado, Caetité, Candiba, Dário Meira, Guanambi, Ibirataia, Ipiaú, Itagi, Itagibá, Itamari, Ituaçu, Jequié, Jitaúna, Livramento de Nossa Senhora, Malhada de Pedras, Manoel Vitorino, Nova Ibiá, Palmas de Monte Alto, Pindaí, Tanhaçu, Ubatã, Urandi.</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1.025</w:t>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6</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Demais municípios</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774</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6</w:t>
            </w:r>
          </w:p>
        </w:tc>
      </w:tr>
    </w:tbl>
    <w:p w:rsidR="00000000" w:rsidDel="00000000" w:rsidP="00000000" w:rsidRDefault="00000000" w:rsidRPr="00000000" w14:paraId="00000080">
      <w:pPr>
        <w:jc w:val="both"/>
        <w:rPr>
          <w:sz w:val="24"/>
          <w:szCs w:val="24"/>
        </w:rPr>
      </w:pPr>
      <w:r w:rsidDel="00000000" w:rsidR="00000000" w:rsidRPr="00000000">
        <w:rPr>
          <w:rtl w:val="0"/>
        </w:rPr>
      </w:r>
    </w:p>
    <w:p w:rsidR="00000000" w:rsidDel="00000000" w:rsidP="00000000" w:rsidRDefault="00000000" w:rsidRPr="00000000" w14:paraId="00000081">
      <w:pPr>
        <w:jc w:val="both"/>
        <w:rPr/>
      </w:pPr>
      <w:r w:rsidDel="00000000" w:rsidR="00000000" w:rsidRPr="00000000">
        <w:rPr>
          <w:sz w:val="24"/>
          <w:szCs w:val="24"/>
          <w:rtl w:val="0"/>
        </w:rPr>
        <w:t xml:space="preserve">* Para fins deste edital, serão considerados como quantitativo de artesãos por município baiano os cadastros realizados no Sistema de Informações Cadastrais do Artesanato Brasileiro - SICAB até o dia </w:t>
      </w:r>
      <w:r w:rsidDel="00000000" w:rsidR="00000000" w:rsidRPr="00000000">
        <w:rPr>
          <w:b w:val="1"/>
          <w:bCs w:val="1"/>
          <w:sz w:val="24"/>
          <w:szCs w:val="24"/>
          <w:rtl w:val="0"/>
        </w:rPr>
        <w:t xml:space="preserve">23/02/2026</w:t>
      </w:r>
      <w:r w:rsidDel="00000000" w:rsidR="00000000" w:rsidRPr="00000000">
        <w:rPr>
          <w:sz w:val="24"/>
          <w:szCs w:val="24"/>
          <w:rtl w:val="0"/>
        </w:rPr>
        <w:t xml:space="preserve">.</w:t>
      </w:r>
      <w:r w:rsidDel="00000000" w:rsidR="00000000" w:rsidRPr="00000000">
        <w:rPr>
          <w:rtl w:val="0"/>
        </w:rPr>
      </w:r>
    </w:p>
    <w:sectPr>
      <w:headerReference r:id="rId8" w:type="default"/>
      <w:pgSz w:h="16838" w:w="11906" w:orient="portrait"/>
      <w:pgMar w:bottom="709" w:top="1417" w:left="1275.5905511811022"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wp:posOffset>
          </wp:positionH>
          <wp:positionV relativeFrom="paragraph">
            <wp:posOffset>-519496</wp:posOffset>
          </wp:positionV>
          <wp:extent cx="1724025" cy="828675"/>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24025" cy="8286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4171950</wp:posOffset>
          </wp:positionH>
          <wp:positionV relativeFrom="paragraph">
            <wp:posOffset>-372224</wp:posOffset>
          </wp:positionV>
          <wp:extent cx="1228090" cy="63817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28090" cy="6381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j73Lu4SLrEDQYhEcMB+SZ7h4gA==">CgMxLjAyCGguZ2pkZ3hzOAByITFDUDhMTVZUUjhoZDJTb09vN2RBZGJlLXJtSWxpSzA5cQ==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